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24E7E" w14:textId="241DB173" w:rsidR="0053656F" w:rsidRPr="00F74AF5" w:rsidRDefault="0053656F" w:rsidP="0053656F">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w:t>
      </w:r>
      <w:r w:rsidR="00D846E1">
        <w:rPr>
          <w:rFonts w:cs="Arial"/>
          <w:b/>
          <w:sz w:val="24"/>
          <w:szCs w:val="24"/>
        </w:rPr>
        <w:t>5</w:t>
      </w:r>
      <w:r>
        <w:rPr>
          <w:rFonts w:cs="Arial"/>
          <w:b/>
          <w:sz w:val="24"/>
          <w:szCs w:val="24"/>
        </w:rPr>
        <w:t>-e</w:t>
      </w:r>
      <w:r>
        <w:rPr>
          <w:rFonts w:cs="Arial"/>
          <w:b/>
          <w:sz w:val="24"/>
          <w:szCs w:val="24"/>
        </w:rPr>
        <w:tab/>
      </w:r>
      <w:r w:rsidR="00D846E1" w:rsidRPr="00D846E1">
        <w:rPr>
          <w:rFonts w:cs="Arial"/>
          <w:b/>
          <w:sz w:val="24"/>
          <w:szCs w:val="24"/>
        </w:rPr>
        <w:t>R4-2006543</w:t>
      </w:r>
    </w:p>
    <w:p w14:paraId="26F858F2" w14:textId="47B41939" w:rsidR="0043450E" w:rsidRDefault="0053656F" w:rsidP="00690682">
      <w:pPr>
        <w:pStyle w:val="CRCoverPage"/>
        <w:tabs>
          <w:tab w:val="right" w:pos="9639"/>
        </w:tabs>
        <w:spacing w:after="0"/>
        <w:rPr>
          <w:rFonts w:eastAsia="SimSun"/>
          <w:b/>
          <w:sz w:val="24"/>
          <w:szCs w:val="24"/>
          <w:lang w:eastAsia="zh-CN"/>
        </w:rPr>
      </w:pPr>
      <w:r>
        <w:rPr>
          <w:rFonts w:cs="Arial"/>
          <w:b/>
          <w:sz w:val="24"/>
          <w:szCs w:val="24"/>
        </w:rPr>
        <w:t xml:space="preserve">Electronic Meeting, </w:t>
      </w:r>
      <w:bookmarkEnd w:id="0"/>
      <w:r w:rsidR="00690682" w:rsidRPr="00554399">
        <w:rPr>
          <w:rFonts w:eastAsia="SimSun"/>
          <w:b/>
          <w:sz w:val="24"/>
          <w:szCs w:val="24"/>
          <w:lang w:eastAsia="zh-CN"/>
        </w:rPr>
        <w:t>2</w:t>
      </w:r>
      <w:r w:rsidR="00690682">
        <w:rPr>
          <w:rFonts w:eastAsia="SimSun"/>
          <w:b/>
          <w:sz w:val="24"/>
          <w:szCs w:val="24"/>
          <w:lang w:eastAsia="zh-CN"/>
        </w:rPr>
        <w:t>5 May</w:t>
      </w:r>
      <w:r w:rsidR="00690682" w:rsidRPr="00554399">
        <w:rPr>
          <w:rFonts w:eastAsia="SimSun" w:hint="eastAsia"/>
          <w:b/>
          <w:sz w:val="24"/>
          <w:szCs w:val="24"/>
          <w:lang w:eastAsia="zh-CN"/>
        </w:rPr>
        <w:t xml:space="preserve"> </w:t>
      </w:r>
      <w:r w:rsidR="00690682" w:rsidRPr="00554399">
        <w:rPr>
          <w:rFonts w:eastAsia="SimSun"/>
          <w:b/>
          <w:sz w:val="24"/>
          <w:szCs w:val="24"/>
          <w:lang w:eastAsia="zh-CN"/>
        </w:rPr>
        <w:t>–</w:t>
      </w:r>
      <w:r w:rsidR="00690682" w:rsidRPr="00554399">
        <w:rPr>
          <w:rFonts w:eastAsia="SimSun" w:hint="eastAsia"/>
          <w:b/>
          <w:sz w:val="24"/>
          <w:szCs w:val="24"/>
          <w:lang w:eastAsia="zh-CN"/>
        </w:rPr>
        <w:t xml:space="preserve"> </w:t>
      </w:r>
      <w:r w:rsidR="00690682">
        <w:rPr>
          <w:rFonts w:eastAsia="SimSun"/>
          <w:b/>
          <w:sz w:val="24"/>
          <w:szCs w:val="24"/>
          <w:lang w:eastAsia="zh-CN"/>
        </w:rPr>
        <w:t>5 June</w:t>
      </w:r>
      <w:r w:rsidR="00690682" w:rsidRPr="00554399">
        <w:rPr>
          <w:rFonts w:eastAsia="SimSun"/>
          <w:b/>
          <w:sz w:val="24"/>
          <w:szCs w:val="24"/>
          <w:lang w:eastAsia="zh-CN"/>
        </w:rPr>
        <w:t>, 2020</w:t>
      </w:r>
    </w:p>
    <w:p w14:paraId="63386936" w14:textId="77777777" w:rsidR="00690682" w:rsidRPr="005F0DE0" w:rsidRDefault="00690682" w:rsidP="00690682">
      <w:pPr>
        <w:pStyle w:val="CRCoverPage"/>
        <w:tabs>
          <w:tab w:val="right" w:pos="9639"/>
        </w:tabs>
        <w:spacing w:after="0"/>
        <w:rPr>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1F499FB"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A1BAE">
        <w:rPr>
          <w:sz w:val="22"/>
        </w:rPr>
        <w:t>Discussion on remaining issues on DAPS handover</w:t>
      </w:r>
    </w:p>
    <w:p w14:paraId="23226DA5" w14:textId="6640D3E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B6302">
        <w:rPr>
          <w:bCs/>
          <w:sz w:val="22"/>
        </w:rPr>
        <w:t>6</w:t>
      </w:r>
      <w:r w:rsidR="00347DB1" w:rsidRPr="00347DB1">
        <w:rPr>
          <w:bCs/>
          <w:sz w:val="22"/>
        </w:rPr>
        <w:t>.3.2.1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7F41BD54" w14:textId="3827BD75" w:rsidR="00547A0C" w:rsidRPr="00635383" w:rsidRDefault="001954C0" w:rsidP="000B5E8E">
      <w:pPr>
        <w:rPr>
          <w:lang w:eastAsia="zh-CN"/>
        </w:rPr>
      </w:pPr>
      <w:r>
        <w:rPr>
          <w:lang w:eastAsia="zh-CN"/>
        </w:rPr>
        <w:t xml:space="preserve">In the last </w:t>
      </w:r>
      <w:r w:rsidR="0053656F">
        <w:rPr>
          <w:lang w:eastAsia="zh-CN"/>
        </w:rPr>
        <w:t>RAN4#94-e</w:t>
      </w:r>
      <w:r w:rsidR="00ED3D2B">
        <w:rPr>
          <w:lang w:eastAsia="zh-CN"/>
        </w:rPr>
        <w:t>-bis</w:t>
      </w:r>
      <w:r>
        <w:rPr>
          <w:lang w:eastAsia="zh-CN"/>
        </w:rPr>
        <w:t xml:space="preserve"> meeting, RAN4 had extensively discussion on interruption, delay and </w:t>
      </w:r>
      <w:r w:rsidR="0053656F">
        <w:rPr>
          <w:lang w:eastAsia="zh-CN"/>
        </w:rPr>
        <w:t>side condition</w:t>
      </w:r>
      <w:r>
        <w:rPr>
          <w:lang w:eastAsia="zh-CN"/>
        </w:rPr>
        <w:t xml:space="preserve"> for DAPS handover, with agreement captured in the ad-hoc minutes [1] and the approved WF [2]. However, there are still some open issues left. In this contribution, we further discuss the issues and provide corresponding proposals.</w:t>
      </w:r>
      <w:r w:rsidR="00A80F2A">
        <w:rPr>
          <w:lang w:eastAsia="zh-CN"/>
        </w:rPr>
        <w:t xml:space="preserve"> </w:t>
      </w:r>
    </w:p>
    <w:p w14:paraId="791551E3" w14:textId="66B1E55E" w:rsidR="003B7888" w:rsidRDefault="003B7888" w:rsidP="003B7888">
      <w:pPr>
        <w:pStyle w:val="Heading1"/>
      </w:pPr>
      <w:r>
        <w:t>2</w:t>
      </w:r>
      <w:r>
        <w:tab/>
      </w:r>
      <w:r w:rsidR="00207AB3">
        <w:t>Discussion</w:t>
      </w:r>
    </w:p>
    <w:p w14:paraId="1F234CCD" w14:textId="00958938" w:rsidR="00456024" w:rsidRDefault="005F7D9C" w:rsidP="00456024">
      <w:pPr>
        <w:pStyle w:val="Caption"/>
        <w:rPr>
          <w:bCs/>
          <w:i w:val="0"/>
          <w:iCs w:val="0"/>
          <w:color w:val="auto"/>
          <w:sz w:val="20"/>
          <w:lang w:eastAsia="zh-CN"/>
        </w:rPr>
      </w:pPr>
      <w:r>
        <w:rPr>
          <w:bCs/>
          <w:i w:val="0"/>
          <w:iCs w:val="0"/>
          <w:color w:val="auto"/>
          <w:sz w:val="20"/>
          <w:lang w:eastAsia="zh-CN"/>
        </w:rPr>
        <w:t>For information, here we duplicate the</w:t>
      </w:r>
      <w:r w:rsidR="00A80F2A">
        <w:rPr>
          <w:bCs/>
          <w:i w:val="0"/>
          <w:iCs w:val="0"/>
          <w:color w:val="auto"/>
          <w:sz w:val="20"/>
          <w:lang w:eastAsia="zh-CN"/>
        </w:rPr>
        <w:t xml:space="preserve"> interruption related</w:t>
      </w:r>
      <w:r>
        <w:rPr>
          <w:bCs/>
          <w:i w:val="0"/>
          <w:iCs w:val="0"/>
          <w:color w:val="auto"/>
          <w:sz w:val="20"/>
          <w:lang w:eastAsia="zh-CN"/>
        </w:rPr>
        <w:t xml:space="preserve"> progress in the last RAN4 #9</w:t>
      </w:r>
      <w:r w:rsidR="00FD263F">
        <w:rPr>
          <w:bCs/>
          <w:i w:val="0"/>
          <w:iCs w:val="0"/>
          <w:color w:val="auto"/>
          <w:sz w:val="20"/>
          <w:lang w:eastAsia="zh-CN"/>
        </w:rPr>
        <w:t>4-e</w:t>
      </w:r>
      <w:r>
        <w:rPr>
          <w:bCs/>
          <w:i w:val="0"/>
          <w:iCs w:val="0"/>
          <w:color w:val="auto"/>
          <w:sz w:val="20"/>
          <w:lang w:eastAsia="zh-CN"/>
        </w:rPr>
        <w:t>:</w:t>
      </w:r>
    </w:p>
    <w:p w14:paraId="279FA3B3" w14:textId="05703954" w:rsidR="00EE549F" w:rsidRPr="00EE549F" w:rsidRDefault="00EE549F" w:rsidP="00EE549F">
      <w:pPr>
        <w:overflowPunct/>
        <w:autoSpaceDE/>
        <w:autoSpaceDN/>
        <w:adjustRightInd/>
        <w:spacing w:after="120"/>
        <w:textAlignment w:val="auto"/>
        <w:rPr>
          <w:b/>
          <w:bCs/>
        </w:rPr>
      </w:pPr>
      <w:r w:rsidRPr="00EE549F">
        <w:rPr>
          <w:b/>
          <w:bCs/>
          <w:lang w:eastAsia="zh-CN"/>
        </w:rPr>
        <w:t xml:space="preserve">Interruption during Delay </w:t>
      </w:r>
      <w:r>
        <w:rPr>
          <w:b/>
          <w:bCs/>
          <w:lang w:eastAsia="zh-CN"/>
        </w:rPr>
        <w:t>(</w:t>
      </w:r>
      <w:r w:rsidRPr="00EE549F">
        <w:rPr>
          <w:b/>
          <w:bCs/>
          <w:lang w:eastAsia="zh-CN"/>
        </w:rPr>
        <w:t>1</w:t>
      </w:r>
      <w:r>
        <w:rPr>
          <w:b/>
          <w:bCs/>
          <w:lang w:eastAsia="zh-CN"/>
        </w:rPr>
        <w:t>):</w:t>
      </w:r>
    </w:p>
    <w:tbl>
      <w:tblPr>
        <w:tblStyle w:val="TableGrid"/>
        <w:tblW w:w="0" w:type="auto"/>
        <w:tblLook w:val="04A0" w:firstRow="1" w:lastRow="0" w:firstColumn="1" w:lastColumn="0" w:noHBand="0" w:noVBand="1"/>
      </w:tblPr>
      <w:tblGrid>
        <w:gridCol w:w="9629"/>
      </w:tblGrid>
      <w:tr w:rsidR="00A80F2A" w14:paraId="7B4A1C21" w14:textId="77777777" w:rsidTr="00A80F2A">
        <w:tc>
          <w:tcPr>
            <w:tcW w:w="9629" w:type="dxa"/>
          </w:tcPr>
          <w:p w14:paraId="4F87B6B7" w14:textId="77777777" w:rsidR="00F9008C" w:rsidRPr="00F9008C" w:rsidRDefault="00F9008C" w:rsidP="00FF01B5">
            <w:pPr>
              <w:numPr>
                <w:ilvl w:val="0"/>
                <w:numId w:val="2"/>
              </w:numPr>
              <w:rPr>
                <w:lang w:val="en-US"/>
              </w:rPr>
            </w:pPr>
            <w:r w:rsidRPr="00F9008C">
              <w:rPr>
                <w:u w:val="single"/>
              </w:rPr>
              <w:t>Issue 1-1: Interruption in intra-frequency DAPS HO D1 for 60KHz</w:t>
            </w:r>
          </w:p>
          <w:p w14:paraId="247962BF" w14:textId="77777777" w:rsidR="00F9008C" w:rsidRPr="00F9008C" w:rsidRDefault="00F9008C" w:rsidP="00F9008C">
            <w:pPr>
              <w:rPr>
                <w:lang w:val="en-US"/>
              </w:rPr>
            </w:pPr>
            <w:r w:rsidRPr="00F9008C">
              <w:t>Agreement: 4 slots</w:t>
            </w:r>
          </w:p>
          <w:p w14:paraId="5FCE122D" w14:textId="77777777" w:rsidR="00F9008C" w:rsidRPr="00F9008C" w:rsidRDefault="00F9008C" w:rsidP="00FF01B5">
            <w:pPr>
              <w:numPr>
                <w:ilvl w:val="0"/>
                <w:numId w:val="2"/>
              </w:numPr>
              <w:rPr>
                <w:lang w:val="en-US"/>
              </w:rPr>
            </w:pPr>
            <w:r w:rsidRPr="00F9008C">
              <w:rPr>
                <w:u w:val="single"/>
              </w:rPr>
              <w:t>Issue 1-2: interruption when UL Tx overlap in time</w:t>
            </w:r>
          </w:p>
          <w:p w14:paraId="7F9C2B8D" w14:textId="77777777" w:rsidR="00F9008C" w:rsidRPr="00F9008C" w:rsidRDefault="00F9008C" w:rsidP="00F9008C">
            <w:pPr>
              <w:rPr>
                <w:lang w:val="en-US"/>
              </w:rPr>
            </w:pPr>
            <w:r w:rsidRPr="00F9008C">
              <w:t>Agreement: no need to capture this in RAN4 specification since corresponding UE behaviour has already been captured in RAN1 specification.</w:t>
            </w:r>
          </w:p>
          <w:p w14:paraId="253FACF2" w14:textId="77777777" w:rsidR="00F9008C" w:rsidRPr="00F9008C" w:rsidRDefault="00F9008C" w:rsidP="00FF01B5">
            <w:pPr>
              <w:numPr>
                <w:ilvl w:val="0"/>
                <w:numId w:val="2"/>
              </w:numPr>
              <w:rPr>
                <w:lang w:val="en-US"/>
              </w:rPr>
            </w:pPr>
            <w:r w:rsidRPr="00F9008C">
              <w:rPr>
                <w:u w:val="single"/>
              </w:rPr>
              <w:t>Issue 1-3: different interruption during Delay (1) and (2)</w:t>
            </w:r>
          </w:p>
          <w:p w14:paraId="16DA88F9" w14:textId="77777777" w:rsidR="00F9008C" w:rsidRPr="00F9008C" w:rsidRDefault="00F9008C" w:rsidP="00F9008C">
            <w:pPr>
              <w:rPr>
                <w:lang w:val="en-US"/>
              </w:rPr>
            </w:pPr>
            <w:r w:rsidRPr="00F9008C">
              <w:t>Agreement: different interruption during Delay (1) and (2) has already been considered and reflected in existing specification. RAN4 will not revisit previous agreement</w:t>
            </w:r>
          </w:p>
          <w:p w14:paraId="58C56FC1" w14:textId="77777777" w:rsidR="00F9008C" w:rsidRPr="00F9008C" w:rsidRDefault="00F9008C" w:rsidP="00FF01B5">
            <w:pPr>
              <w:numPr>
                <w:ilvl w:val="0"/>
                <w:numId w:val="2"/>
              </w:numPr>
              <w:rPr>
                <w:lang w:val="en-US"/>
              </w:rPr>
            </w:pPr>
            <w:r w:rsidRPr="00F9008C">
              <w:rPr>
                <w:u w:val="single"/>
              </w:rPr>
              <w:t>Issue 1-4: Power imbalance in side condition for interruption requirements</w:t>
            </w:r>
          </w:p>
          <w:p w14:paraId="295D1AE7" w14:textId="77777777" w:rsidR="00F9008C" w:rsidRPr="00F9008C" w:rsidRDefault="00F9008C" w:rsidP="00F9008C">
            <w:pPr>
              <w:rPr>
                <w:lang w:val="en-US"/>
              </w:rPr>
            </w:pPr>
            <w:r w:rsidRPr="00F9008C">
              <w:t>Agreement: RAN4 will not capture side condition of power imbalance in core requirement. The issue can be discussed in performance part.</w:t>
            </w:r>
          </w:p>
          <w:p w14:paraId="73DDD6F2" w14:textId="77777777" w:rsidR="00F9008C" w:rsidRPr="00F9008C" w:rsidRDefault="00F9008C" w:rsidP="00FF01B5">
            <w:pPr>
              <w:numPr>
                <w:ilvl w:val="0"/>
                <w:numId w:val="2"/>
              </w:numPr>
              <w:rPr>
                <w:lang w:val="en-US"/>
              </w:rPr>
            </w:pPr>
            <w:r w:rsidRPr="00F9008C">
              <w:rPr>
                <w:u w:val="single"/>
              </w:rPr>
              <w:t>Issue 1-8: RRM measurement during DAPS handover:</w:t>
            </w:r>
          </w:p>
          <w:p w14:paraId="208C099D" w14:textId="11815F5D" w:rsidR="00F9008C" w:rsidRDefault="00F9008C" w:rsidP="00F9008C">
            <w:r w:rsidRPr="00F9008C">
              <w:t xml:space="preserve">Agreement: </w:t>
            </w:r>
            <w:r w:rsidRPr="00F9008C">
              <w:rPr>
                <w:lang w:val="en-US"/>
              </w:rPr>
              <w:t xml:space="preserve">it is up to UE implementation whether to perform </w:t>
            </w:r>
            <w:r w:rsidRPr="00F9008C">
              <w:t>RRM measurement on the frequencies of source cell and target cell during DAPS handover procedure.</w:t>
            </w:r>
          </w:p>
          <w:p w14:paraId="2B342477" w14:textId="77777777" w:rsidR="00F9008C" w:rsidRPr="00F9008C" w:rsidRDefault="00F9008C" w:rsidP="00F9008C">
            <w:pPr>
              <w:rPr>
                <w:lang w:val="en-US"/>
              </w:rPr>
            </w:pPr>
          </w:p>
          <w:p w14:paraId="08B21051" w14:textId="77777777" w:rsidR="00F9008C" w:rsidRPr="00F9008C" w:rsidRDefault="00F9008C" w:rsidP="00FF01B5">
            <w:pPr>
              <w:numPr>
                <w:ilvl w:val="0"/>
                <w:numId w:val="2"/>
              </w:numPr>
              <w:rPr>
                <w:lang w:val="en-US"/>
              </w:rPr>
            </w:pPr>
            <w:r w:rsidRPr="00F9008C">
              <w:t>Side condition for sync DAPS HO regarding MRTD/MTTD at UE side is to be introduced. If side condition is not met, async DAPS HO is assumed.</w:t>
            </w:r>
          </w:p>
          <w:p w14:paraId="322898AB" w14:textId="77777777" w:rsidR="00F9008C" w:rsidRPr="00F9008C" w:rsidRDefault="00F9008C" w:rsidP="00FF01B5">
            <w:pPr>
              <w:numPr>
                <w:ilvl w:val="0"/>
                <w:numId w:val="2"/>
              </w:numPr>
              <w:rPr>
                <w:lang w:val="en-US"/>
              </w:rPr>
            </w:pPr>
            <w:r w:rsidRPr="00F9008C">
              <w:t>The followings will be decided in RAN4#-95-e</w:t>
            </w:r>
          </w:p>
          <w:p w14:paraId="5A759629" w14:textId="77777777" w:rsidR="00F9008C" w:rsidRPr="00F9008C" w:rsidRDefault="00F9008C" w:rsidP="00FF01B5">
            <w:pPr>
              <w:numPr>
                <w:ilvl w:val="1"/>
                <w:numId w:val="2"/>
              </w:numPr>
              <w:rPr>
                <w:lang w:val="en-US"/>
              </w:rPr>
            </w:pPr>
            <w:r w:rsidRPr="00F9008C">
              <w:t>Whether the existing interruption requirements for intra-frequency DAPS HO are only applied for sync scenario.</w:t>
            </w:r>
          </w:p>
          <w:p w14:paraId="6C0E8C04" w14:textId="2EA5F736" w:rsidR="00F9008C" w:rsidRPr="00F9008C" w:rsidRDefault="00F9008C" w:rsidP="00FF01B5">
            <w:pPr>
              <w:numPr>
                <w:ilvl w:val="1"/>
                <w:numId w:val="2"/>
              </w:numPr>
              <w:rPr>
                <w:lang w:val="en-US"/>
              </w:rPr>
            </w:pPr>
            <w:r w:rsidRPr="00F9008C">
              <w:t>Whether the existing interruption requirements for intra-band inter-frequency DAPS HO are only applied for sync scenario.</w:t>
            </w:r>
          </w:p>
          <w:p w14:paraId="30099707" w14:textId="77777777" w:rsidR="00F9008C" w:rsidRPr="00F9008C" w:rsidRDefault="00F9008C" w:rsidP="00F9008C">
            <w:pPr>
              <w:rPr>
                <w:lang w:val="en-US"/>
              </w:rPr>
            </w:pPr>
          </w:p>
          <w:p w14:paraId="00DE018C" w14:textId="77777777" w:rsidR="00F9008C" w:rsidRPr="00F9008C" w:rsidRDefault="00F9008C" w:rsidP="00FF01B5">
            <w:pPr>
              <w:numPr>
                <w:ilvl w:val="0"/>
                <w:numId w:val="2"/>
              </w:numPr>
              <w:rPr>
                <w:lang w:val="en-US"/>
              </w:rPr>
            </w:pPr>
            <w:r w:rsidRPr="00F9008C">
              <w:t>Side condition for intra-frequency sync DAPS HO:</w:t>
            </w:r>
          </w:p>
          <w:p w14:paraId="5FEE0770" w14:textId="77777777" w:rsidR="00F9008C" w:rsidRPr="00F9008C" w:rsidRDefault="00F9008C" w:rsidP="00FF01B5">
            <w:pPr>
              <w:numPr>
                <w:ilvl w:val="1"/>
                <w:numId w:val="2"/>
              </w:numPr>
              <w:rPr>
                <w:lang w:val="en-US"/>
              </w:rPr>
            </w:pPr>
            <w:r w:rsidRPr="00F9008C">
              <w:rPr>
                <w:lang w:val="en-US"/>
              </w:rPr>
              <w:t>UE which only support sync DAPS HO shall meet existing DAPS HO requirement as long as:</w:t>
            </w:r>
          </w:p>
          <w:p w14:paraId="49A03AA4" w14:textId="77777777" w:rsidR="00F9008C" w:rsidRPr="00F9008C" w:rsidRDefault="00F9008C" w:rsidP="00FF01B5">
            <w:pPr>
              <w:numPr>
                <w:ilvl w:val="2"/>
                <w:numId w:val="2"/>
              </w:numPr>
              <w:rPr>
                <w:lang w:val="en-US"/>
              </w:rPr>
            </w:pPr>
            <w:r w:rsidRPr="00F9008C">
              <w:rPr>
                <w:lang w:val="en-US"/>
              </w:rPr>
              <w:lastRenderedPageBreak/>
              <w:t>Option 1: it is assumed that source and target cells are co-located.</w:t>
            </w:r>
          </w:p>
          <w:p w14:paraId="22F67A8D" w14:textId="77777777" w:rsidR="00F9008C" w:rsidRPr="00F9008C" w:rsidRDefault="00F9008C" w:rsidP="00FF01B5">
            <w:pPr>
              <w:numPr>
                <w:ilvl w:val="3"/>
                <w:numId w:val="2"/>
              </w:numPr>
              <w:rPr>
                <w:lang w:val="en-US"/>
              </w:rPr>
            </w:pPr>
            <w:r w:rsidRPr="00F9008C">
              <w:rPr>
                <w:lang w:val="en-US"/>
              </w:rPr>
              <w:t xml:space="preserve">3 us MRTD and 5.21 us MTTD between source and target cells is not exceeded: </w:t>
            </w:r>
            <w:r w:rsidRPr="00F9008C">
              <w:rPr>
                <w:lang w:val="en-US"/>
              </w:rPr>
              <w:br/>
              <w:t>Note: If the receive time difference exceeds the cyclic prefix length of that SCS, demodulation performance degradation is expected for the first symbol of the slot.</w:t>
            </w:r>
          </w:p>
          <w:p w14:paraId="64C825F2" w14:textId="77777777" w:rsidR="00F9008C" w:rsidRPr="00F9008C" w:rsidRDefault="00F9008C" w:rsidP="00FF01B5">
            <w:pPr>
              <w:numPr>
                <w:ilvl w:val="2"/>
                <w:numId w:val="2"/>
              </w:numPr>
              <w:rPr>
                <w:lang w:val="en-US"/>
              </w:rPr>
            </w:pPr>
            <w:r w:rsidRPr="00F9008C">
              <w:rPr>
                <w:lang w:val="en-US"/>
              </w:rPr>
              <w:t>Option 2: it is assumed that source and target cells can be non-co-located.</w:t>
            </w:r>
          </w:p>
          <w:p w14:paraId="6D64B3FD" w14:textId="77777777" w:rsidR="00F9008C" w:rsidRPr="00F9008C" w:rsidRDefault="00F9008C" w:rsidP="00FF01B5">
            <w:pPr>
              <w:numPr>
                <w:ilvl w:val="3"/>
                <w:numId w:val="2"/>
              </w:numPr>
              <w:rPr>
                <w:lang w:val="en-US"/>
              </w:rPr>
            </w:pPr>
            <w:r w:rsidRPr="00F9008C">
              <w:rPr>
                <w:lang w:val="en-US"/>
              </w:rPr>
              <w:t>33 us MRTD and 34.6 us MTTD between source and target cells is not exceeded</w:t>
            </w:r>
            <w:r w:rsidRPr="00F9008C">
              <w:rPr>
                <w:lang w:val="en-US"/>
              </w:rPr>
              <w:br/>
              <w:t>Note: If the receive time difference exceeds the cyclic prefix length of that SCS, demodulation performance degradation is expected for the first symbol of the slot.</w:t>
            </w:r>
          </w:p>
          <w:p w14:paraId="4B59F383" w14:textId="77777777" w:rsidR="00F9008C" w:rsidRPr="00F9008C" w:rsidRDefault="00F9008C" w:rsidP="00FF01B5">
            <w:pPr>
              <w:numPr>
                <w:ilvl w:val="2"/>
                <w:numId w:val="2"/>
              </w:numPr>
              <w:rPr>
                <w:lang w:val="en-US"/>
              </w:rPr>
            </w:pPr>
            <w:r w:rsidRPr="00F9008C">
              <w:rPr>
                <w:lang w:val="en-US"/>
              </w:rPr>
              <w:t>Option 3: specify “Tight Sync” and “Loose Sync” for sync DAPS handover capabilities.</w:t>
            </w:r>
          </w:p>
          <w:p w14:paraId="54DFB324" w14:textId="77777777" w:rsidR="00F9008C" w:rsidRPr="00F9008C" w:rsidRDefault="00F9008C" w:rsidP="00FF01B5">
            <w:pPr>
              <w:numPr>
                <w:ilvl w:val="3"/>
                <w:numId w:val="2"/>
              </w:numPr>
              <w:rPr>
                <w:lang w:val="en-US"/>
              </w:rPr>
            </w:pPr>
            <w:r w:rsidRPr="00F9008C">
              <w:rPr>
                <w:lang w:val="en-US"/>
              </w:rPr>
              <w:t xml:space="preserve">Tight Sync : 3 us MRTD and 5.21 us MTTD between source and target cells is not exceeded: </w:t>
            </w:r>
            <w:r w:rsidRPr="00F9008C">
              <w:rPr>
                <w:lang w:val="en-US"/>
              </w:rPr>
              <w:br/>
              <w:t xml:space="preserve">Note: If the receive time difference exceeds the cyclic prefix length of that SCS, demodulation performance degradation is expected for the first symbol of the slot. </w:t>
            </w:r>
          </w:p>
          <w:p w14:paraId="24E86204" w14:textId="77777777" w:rsidR="00F9008C" w:rsidRPr="00F9008C" w:rsidRDefault="00F9008C" w:rsidP="00FF01B5">
            <w:pPr>
              <w:numPr>
                <w:ilvl w:val="3"/>
                <w:numId w:val="2"/>
              </w:numPr>
              <w:rPr>
                <w:lang w:val="en-US"/>
              </w:rPr>
            </w:pPr>
            <w:r w:rsidRPr="00F9008C">
              <w:rPr>
                <w:lang w:val="en-US"/>
              </w:rPr>
              <w:t>Loose Sync : 33 us MRTD and 34.6 us MTTD between source and target cells is not exceeded</w:t>
            </w:r>
            <w:r w:rsidRPr="00F9008C">
              <w:rPr>
                <w:lang w:val="en-US"/>
              </w:rPr>
              <w:br/>
              <w:t>Note: If the receive time difference exceeds the cyclic prefix length of that SCS, demodulation performance degradation is expected for the first symbol of the slot.</w:t>
            </w:r>
          </w:p>
          <w:p w14:paraId="0205098D" w14:textId="77777777" w:rsidR="00F9008C" w:rsidRPr="00F9008C" w:rsidRDefault="00F9008C" w:rsidP="00FF01B5">
            <w:pPr>
              <w:numPr>
                <w:ilvl w:val="0"/>
                <w:numId w:val="2"/>
              </w:numPr>
              <w:rPr>
                <w:lang w:val="en-US"/>
              </w:rPr>
            </w:pPr>
            <w:r w:rsidRPr="00F9008C">
              <w:t>Side condition for intra-band inter-frequency sync DAPS HO:</w:t>
            </w:r>
          </w:p>
          <w:p w14:paraId="164C0E63" w14:textId="77777777" w:rsidR="00F9008C" w:rsidRPr="00F9008C" w:rsidRDefault="00F9008C" w:rsidP="00FF01B5">
            <w:pPr>
              <w:numPr>
                <w:ilvl w:val="1"/>
                <w:numId w:val="2"/>
              </w:numPr>
              <w:rPr>
                <w:lang w:val="en-US"/>
              </w:rPr>
            </w:pPr>
            <w:r w:rsidRPr="00F9008C">
              <w:rPr>
                <w:lang w:val="en-US"/>
              </w:rPr>
              <w:t>UE which only support sync DAPS HO shall meet existing DAPS HO requirement as long as:</w:t>
            </w:r>
          </w:p>
          <w:p w14:paraId="7ED0AD3A" w14:textId="77777777" w:rsidR="00F9008C" w:rsidRPr="00F9008C" w:rsidRDefault="00F9008C" w:rsidP="00FF01B5">
            <w:pPr>
              <w:numPr>
                <w:ilvl w:val="2"/>
                <w:numId w:val="2"/>
              </w:numPr>
              <w:rPr>
                <w:lang w:val="en-US"/>
              </w:rPr>
            </w:pPr>
            <w:r w:rsidRPr="00F9008C">
              <w:rPr>
                <w:lang w:val="en-US"/>
              </w:rPr>
              <w:t>Option 1: it is assumed that source and target cells are co-located.</w:t>
            </w:r>
          </w:p>
          <w:p w14:paraId="269282EE" w14:textId="77777777" w:rsidR="00F9008C" w:rsidRPr="00F9008C" w:rsidRDefault="00F9008C" w:rsidP="00FF01B5">
            <w:pPr>
              <w:numPr>
                <w:ilvl w:val="3"/>
                <w:numId w:val="2"/>
              </w:numPr>
              <w:rPr>
                <w:lang w:val="en-US"/>
              </w:rPr>
            </w:pPr>
            <w:r w:rsidRPr="00F9008C">
              <w:rPr>
                <w:lang w:val="en-US"/>
              </w:rPr>
              <w:t>3 us MRTD and 5.21 us MTTD between source and target cells is not exceeded:</w:t>
            </w:r>
            <w:r w:rsidRPr="00F9008C">
              <w:rPr>
                <w:lang w:val="en-US"/>
              </w:rPr>
              <w:br/>
              <w:t>Note: If the receive time difference exceeds the cyclic prefix length of that SCS, demodulation performance degradation is expected for the first symbol of the slot.</w:t>
            </w:r>
          </w:p>
          <w:p w14:paraId="5DB5BDD9" w14:textId="77777777" w:rsidR="00F9008C" w:rsidRPr="00F9008C" w:rsidRDefault="00F9008C" w:rsidP="00FF01B5">
            <w:pPr>
              <w:numPr>
                <w:ilvl w:val="2"/>
                <w:numId w:val="2"/>
              </w:numPr>
              <w:rPr>
                <w:lang w:val="en-US"/>
              </w:rPr>
            </w:pPr>
            <w:r w:rsidRPr="00F9008C">
              <w:rPr>
                <w:lang w:val="en-US"/>
              </w:rPr>
              <w:t>Option 2: it is assumed that source and target cells can be non-co-located.</w:t>
            </w:r>
          </w:p>
          <w:p w14:paraId="2041226C" w14:textId="77777777" w:rsidR="00F9008C" w:rsidRPr="00F9008C" w:rsidRDefault="00F9008C" w:rsidP="00FF01B5">
            <w:pPr>
              <w:numPr>
                <w:ilvl w:val="3"/>
                <w:numId w:val="2"/>
              </w:numPr>
              <w:rPr>
                <w:lang w:val="en-US"/>
              </w:rPr>
            </w:pPr>
            <w:r w:rsidRPr="00F9008C">
              <w:rPr>
                <w:lang w:val="en-US"/>
              </w:rPr>
              <w:t>33 us MRTD and 34.6 us MTTD between source and target cells is not exceeded</w:t>
            </w:r>
            <w:r w:rsidRPr="00F9008C">
              <w:rPr>
                <w:lang w:val="en-US"/>
              </w:rPr>
              <w:br/>
              <w:t>Note: If the receive time difference exceeds the cyclic prefix length of that SCS, demodulation performance degradation is expected for the first symbol of the slot.</w:t>
            </w:r>
          </w:p>
          <w:p w14:paraId="7DD254FC" w14:textId="77777777" w:rsidR="00F9008C" w:rsidRPr="00F9008C" w:rsidRDefault="00F9008C" w:rsidP="00FF01B5">
            <w:pPr>
              <w:numPr>
                <w:ilvl w:val="2"/>
                <w:numId w:val="2"/>
              </w:numPr>
              <w:rPr>
                <w:lang w:val="en-US"/>
              </w:rPr>
            </w:pPr>
            <w:r w:rsidRPr="00F9008C">
              <w:rPr>
                <w:lang w:val="en-US"/>
              </w:rPr>
              <w:t>Option 3: specify “Tight Sync” and “Loose Sync” for sync DAPS handover capabilities.</w:t>
            </w:r>
          </w:p>
          <w:p w14:paraId="091339E4" w14:textId="77777777" w:rsidR="00F9008C" w:rsidRPr="00F9008C" w:rsidRDefault="00F9008C" w:rsidP="00FF01B5">
            <w:pPr>
              <w:numPr>
                <w:ilvl w:val="3"/>
                <w:numId w:val="2"/>
              </w:numPr>
              <w:rPr>
                <w:lang w:val="en-US"/>
              </w:rPr>
            </w:pPr>
            <w:r w:rsidRPr="00F9008C">
              <w:rPr>
                <w:lang w:val="en-US"/>
              </w:rPr>
              <w:t xml:space="preserve">Tight Sync : 3 us MRTD and 5.21 us MTTD between source and target cells is not exceeded: </w:t>
            </w:r>
            <w:r w:rsidRPr="00F9008C">
              <w:rPr>
                <w:lang w:val="en-US"/>
              </w:rPr>
              <w:br/>
              <w:t xml:space="preserve">Note: If the receive time difference exceeds the cyclic prefix length of that SCS, demodulation performance degradation is expected for the first symbol of the slot. </w:t>
            </w:r>
          </w:p>
          <w:p w14:paraId="41A09A7F" w14:textId="77777777" w:rsidR="00F9008C" w:rsidRPr="00F9008C" w:rsidRDefault="00F9008C" w:rsidP="00FF01B5">
            <w:pPr>
              <w:numPr>
                <w:ilvl w:val="3"/>
                <w:numId w:val="2"/>
              </w:numPr>
              <w:rPr>
                <w:lang w:val="en-US"/>
              </w:rPr>
            </w:pPr>
            <w:r w:rsidRPr="00F9008C">
              <w:rPr>
                <w:lang w:val="en-US"/>
              </w:rPr>
              <w:t>Loose Sync : 33 us MRTD and 34.6 us MTTD between source and target cells is not exceeded</w:t>
            </w:r>
            <w:r w:rsidRPr="00F9008C">
              <w:rPr>
                <w:lang w:val="en-US"/>
              </w:rPr>
              <w:br/>
              <w:t>Note: If the receive time difference exceeds the cyclic prefix length of that SCS, demodulation performance degradation is expected for the first symbol of the slot.</w:t>
            </w:r>
          </w:p>
          <w:p w14:paraId="73600901" w14:textId="77777777" w:rsidR="00A80F2A" w:rsidRDefault="00A80F2A" w:rsidP="00FD263F">
            <w:pPr>
              <w:rPr>
                <w:lang w:val="en-US"/>
              </w:rPr>
            </w:pPr>
          </w:p>
          <w:p w14:paraId="7F2CEBAA" w14:textId="77777777" w:rsidR="00F9008C" w:rsidRPr="00F9008C" w:rsidRDefault="00F9008C" w:rsidP="00FF01B5">
            <w:pPr>
              <w:numPr>
                <w:ilvl w:val="0"/>
                <w:numId w:val="3"/>
              </w:numPr>
              <w:rPr>
                <w:lang w:val="en-US"/>
              </w:rPr>
            </w:pPr>
            <w:r w:rsidRPr="00F9008C">
              <w:t>Side condition for FR1-FR1 inter-band sync DAPS HO:</w:t>
            </w:r>
          </w:p>
          <w:p w14:paraId="7959E445" w14:textId="77777777" w:rsidR="00F9008C" w:rsidRPr="00F9008C" w:rsidRDefault="00F9008C" w:rsidP="00FF01B5">
            <w:pPr>
              <w:numPr>
                <w:ilvl w:val="1"/>
                <w:numId w:val="3"/>
              </w:numPr>
              <w:rPr>
                <w:lang w:val="en-US"/>
              </w:rPr>
            </w:pPr>
            <w:r w:rsidRPr="00F9008C">
              <w:rPr>
                <w:lang w:val="en-US"/>
              </w:rPr>
              <w:t>UE which only support sync DAPS HO shall meet existing DAPS HO requirement as long as:</w:t>
            </w:r>
          </w:p>
          <w:p w14:paraId="089733AA" w14:textId="77777777" w:rsidR="00F9008C" w:rsidRPr="00F9008C" w:rsidRDefault="00F9008C" w:rsidP="00FF01B5">
            <w:pPr>
              <w:numPr>
                <w:ilvl w:val="2"/>
                <w:numId w:val="3"/>
              </w:numPr>
              <w:rPr>
                <w:lang w:val="en-US"/>
              </w:rPr>
            </w:pPr>
            <w:r w:rsidRPr="00F9008C">
              <w:rPr>
                <w:lang w:val="en-US"/>
              </w:rPr>
              <w:t>maximum of 33 us MRTD and 34.6 us MTTD between source and target cells is not exceeded.</w:t>
            </w:r>
          </w:p>
          <w:p w14:paraId="2BA5B955" w14:textId="77777777" w:rsidR="00F9008C" w:rsidRPr="00F9008C" w:rsidRDefault="00F9008C" w:rsidP="00FF01B5">
            <w:pPr>
              <w:numPr>
                <w:ilvl w:val="2"/>
                <w:numId w:val="3"/>
              </w:numPr>
              <w:rPr>
                <w:lang w:val="en-US"/>
              </w:rPr>
            </w:pPr>
            <w:r w:rsidRPr="00F9008C">
              <w:lastRenderedPageBreak/>
              <w:t>Side condition for FR1-FR2 inter-band sync DAPS HO:</w:t>
            </w:r>
          </w:p>
          <w:p w14:paraId="0FC3AAAE" w14:textId="77777777" w:rsidR="00F9008C" w:rsidRPr="00F9008C" w:rsidRDefault="00F9008C" w:rsidP="00FF01B5">
            <w:pPr>
              <w:numPr>
                <w:ilvl w:val="1"/>
                <w:numId w:val="3"/>
              </w:numPr>
              <w:rPr>
                <w:lang w:val="en-US"/>
              </w:rPr>
            </w:pPr>
            <w:r w:rsidRPr="00F9008C">
              <w:rPr>
                <w:lang w:val="en-US"/>
              </w:rPr>
              <w:t>UE which only support sync DAPS HO shall meet existing DAPS HO requirement as long as:</w:t>
            </w:r>
          </w:p>
          <w:p w14:paraId="60777C8C" w14:textId="77777777" w:rsidR="00F9008C" w:rsidRPr="00F9008C" w:rsidRDefault="00F9008C" w:rsidP="00FF01B5">
            <w:pPr>
              <w:numPr>
                <w:ilvl w:val="2"/>
                <w:numId w:val="3"/>
              </w:numPr>
              <w:rPr>
                <w:lang w:val="en-US"/>
              </w:rPr>
            </w:pPr>
            <w:r w:rsidRPr="00F9008C">
              <w:rPr>
                <w:lang w:val="en-US"/>
              </w:rPr>
              <w:t>maximum of 25 us MRTD and 26.1 us MTTD between source and target cells is not exceeded.</w:t>
            </w:r>
          </w:p>
          <w:p w14:paraId="3B414523" w14:textId="77777777" w:rsidR="00F9008C" w:rsidRDefault="00F9008C" w:rsidP="00FD263F">
            <w:pPr>
              <w:rPr>
                <w:lang w:val="en-US"/>
              </w:rPr>
            </w:pPr>
          </w:p>
          <w:p w14:paraId="63A8F534" w14:textId="77777777" w:rsidR="00F9008C" w:rsidRPr="00F9008C" w:rsidRDefault="00F9008C" w:rsidP="00FF01B5">
            <w:pPr>
              <w:numPr>
                <w:ilvl w:val="0"/>
                <w:numId w:val="4"/>
              </w:numPr>
              <w:rPr>
                <w:lang w:val="en-US"/>
              </w:rPr>
            </w:pPr>
            <w:r w:rsidRPr="00F9008C">
              <w:t>Other conditions for intra-frequency DAPS HO:</w:t>
            </w:r>
          </w:p>
          <w:p w14:paraId="63D3A95C" w14:textId="77777777" w:rsidR="00F9008C" w:rsidRPr="00F9008C" w:rsidRDefault="00F9008C" w:rsidP="00F9008C">
            <w:pPr>
              <w:rPr>
                <w:lang w:val="en-US"/>
              </w:rPr>
            </w:pPr>
            <w:r w:rsidRPr="00F9008C">
              <w:rPr>
                <w:lang w:val="en-US"/>
              </w:rPr>
              <w:t>Intra-frequency DAPS HO requirements apply only if</w:t>
            </w:r>
          </w:p>
          <w:p w14:paraId="4A151B5E" w14:textId="77777777" w:rsidR="00F9008C" w:rsidRPr="00F9008C" w:rsidRDefault="00F9008C" w:rsidP="00FF01B5">
            <w:pPr>
              <w:numPr>
                <w:ilvl w:val="1"/>
                <w:numId w:val="5"/>
              </w:numPr>
              <w:rPr>
                <w:lang w:val="en-US"/>
              </w:rPr>
            </w:pPr>
            <w:r w:rsidRPr="00F9008C">
              <w:t xml:space="preserve">the centre frequency of the SSB of the source cell and the centre frequency of the SSB of the target cell are the same, and </w:t>
            </w:r>
          </w:p>
          <w:p w14:paraId="26C7C309" w14:textId="77777777" w:rsidR="00F9008C" w:rsidRPr="00F9008C" w:rsidRDefault="00F9008C" w:rsidP="00FF01B5">
            <w:pPr>
              <w:numPr>
                <w:ilvl w:val="1"/>
                <w:numId w:val="5"/>
              </w:numPr>
              <w:rPr>
                <w:lang w:val="en-US"/>
              </w:rPr>
            </w:pPr>
            <w:r w:rsidRPr="00F9008C">
              <w:t>the subcarrier spacing of the two SSBs are also the same</w:t>
            </w:r>
          </w:p>
          <w:p w14:paraId="5891FA99" w14:textId="77777777" w:rsidR="00F9008C" w:rsidRPr="00F9008C" w:rsidRDefault="00F9008C" w:rsidP="00FF01B5">
            <w:pPr>
              <w:numPr>
                <w:ilvl w:val="1"/>
                <w:numId w:val="5"/>
              </w:numPr>
              <w:rPr>
                <w:lang w:val="en-US"/>
              </w:rPr>
            </w:pPr>
            <w:r w:rsidRPr="00F9008C">
              <w:t>the active BWP of source cell contains the initial BWP of source cell.</w:t>
            </w:r>
          </w:p>
          <w:p w14:paraId="7347A09D" w14:textId="77777777" w:rsidR="00F9008C" w:rsidRPr="00F9008C" w:rsidRDefault="00F9008C" w:rsidP="00FF01B5">
            <w:pPr>
              <w:numPr>
                <w:ilvl w:val="1"/>
                <w:numId w:val="5"/>
              </w:numPr>
              <w:rPr>
                <w:lang w:val="en-US"/>
              </w:rPr>
            </w:pPr>
            <w:r w:rsidRPr="00F9008C">
              <w:t>the active BWP of target cell contains the initial BWP of target cell.</w:t>
            </w:r>
          </w:p>
          <w:p w14:paraId="61F47C1C" w14:textId="5D99FE3A" w:rsidR="00F9008C" w:rsidRPr="00F9008C" w:rsidRDefault="00F9008C" w:rsidP="00FF01B5">
            <w:pPr>
              <w:numPr>
                <w:ilvl w:val="1"/>
                <w:numId w:val="5"/>
              </w:numPr>
              <w:rPr>
                <w:lang w:val="en-US"/>
              </w:rPr>
            </w:pPr>
            <w:r w:rsidRPr="00F9008C">
              <w:t>active DL/UP BWPs of target cell is confined within the active DL/UL BWPs of source cell</w:t>
            </w:r>
          </w:p>
        </w:tc>
      </w:tr>
    </w:tbl>
    <w:p w14:paraId="255B3EF0" w14:textId="77777777" w:rsidR="00EE549F" w:rsidRDefault="00EE549F" w:rsidP="00EE549F">
      <w:pPr>
        <w:overflowPunct/>
        <w:autoSpaceDE/>
        <w:autoSpaceDN/>
        <w:adjustRightInd/>
        <w:spacing w:after="120"/>
        <w:textAlignment w:val="auto"/>
        <w:rPr>
          <w:b/>
          <w:bCs/>
          <w:lang w:eastAsia="zh-CN"/>
        </w:rPr>
      </w:pPr>
    </w:p>
    <w:p w14:paraId="3E7AAFE8" w14:textId="2071CA2B" w:rsidR="00EE549F" w:rsidRDefault="002D4398" w:rsidP="00EE549F">
      <w:pPr>
        <w:overflowPunct/>
        <w:autoSpaceDE/>
        <w:autoSpaceDN/>
        <w:adjustRightInd/>
        <w:spacing w:after="120"/>
        <w:textAlignment w:val="auto"/>
      </w:pPr>
      <w:r>
        <w:t xml:space="preserve">The first open issue is whether existing DAPS HO interruption </w:t>
      </w:r>
      <w:r w:rsidRPr="002D4398">
        <w:t>requirements</w:t>
      </w:r>
      <w:r>
        <w:t xml:space="preserve"> can apply for sync only or both sync and async:</w:t>
      </w:r>
    </w:p>
    <w:p w14:paraId="40CBF500" w14:textId="77777777" w:rsidR="002D4398" w:rsidRPr="002D4398" w:rsidRDefault="002D4398" w:rsidP="00FF01B5">
      <w:pPr>
        <w:numPr>
          <w:ilvl w:val="1"/>
          <w:numId w:val="6"/>
        </w:numPr>
        <w:overflowPunct/>
        <w:autoSpaceDE/>
        <w:autoSpaceDN/>
        <w:adjustRightInd/>
        <w:spacing w:after="120"/>
        <w:textAlignment w:val="auto"/>
        <w:rPr>
          <w:lang w:val="en-US"/>
        </w:rPr>
      </w:pPr>
      <w:r w:rsidRPr="002D4398">
        <w:t>Whether the existing interruption requirements for intra-frequency DAPS HO are only applied for sync scenario.</w:t>
      </w:r>
    </w:p>
    <w:p w14:paraId="6B82E2EE" w14:textId="77777777" w:rsidR="002D4398" w:rsidRPr="002D4398" w:rsidRDefault="002D4398" w:rsidP="00FF01B5">
      <w:pPr>
        <w:numPr>
          <w:ilvl w:val="1"/>
          <w:numId w:val="6"/>
        </w:numPr>
        <w:overflowPunct/>
        <w:autoSpaceDE/>
        <w:autoSpaceDN/>
        <w:adjustRightInd/>
        <w:spacing w:after="120"/>
        <w:textAlignment w:val="auto"/>
        <w:rPr>
          <w:lang w:val="en-US"/>
        </w:rPr>
      </w:pPr>
      <w:r w:rsidRPr="002D4398">
        <w:t>Whether the existing interruption requirements for intra-band inter-frequency DAPS HO are only applied for sync scenario.</w:t>
      </w:r>
    </w:p>
    <w:p w14:paraId="1527155F" w14:textId="259090F7" w:rsidR="002D4398" w:rsidRDefault="002D4398" w:rsidP="00EE549F">
      <w:pPr>
        <w:overflowPunct/>
        <w:autoSpaceDE/>
        <w:autoSpaceDN/>
        <w:adjustRightInd/>
        <w:spacing w:after="120"/>
        <w:textAlignment w:val="auto"/>
        <w:rPr>
          <w:lang w:val="en-US"/>
        </w:rPr>
      </w:pPr>
      <w:r>
        <w:rPr>
          <w:lang w:val="en-US"/>
        </w:rPr>
        <w:t>Existing interruption requirement</w:t>
      </w:r>
      <w:r w:rsidR="005956B7">
        <w:rPr>
          <w:lang w:val="en-US"/>
        </w:rPr>
        <w:t xml:space="preserve"> for intra-frequency DAPS</w:t>
      </w:r>
      <w:r>
        <w:rPr>
          <w:lang w:val="en-US"/>
        </w:rPr>
        <w:t xml:space="preserve"> can be found </w:t>
      </w:r>
      <w:r w:rsidR="005956B7">
        <w:rPr>
          <w:lang w:val="en-US"/>
        </w:rPr>
        <w:t xml:space="preserve">in TS38.133 section </w:t>
      </w:r>
      <w:r w:rsidR="005956B7" w:rsidRPr="005956B7">
        <w:rPr>
          <w:lang w:val="en-US"/>
        </w:rPr>
        <w:t>6.1.3.2.2</w:t>
      </w:r>
      <w:r w:rsidR="005956B7">
        <w:rPr>
          <w:lang w:val="en-US"/>
        </w:rPr>
        <w:t xml:space="preserve"> (take T</w:t>
      </w:r>
      <w:r w:rsidR="005956B7">
        <w:rPr>
          <w:vertAlign w:val="subscript"/>
          <w:lang w:val="en-US"/>
        </w:rPr>
        <w:t>interrupt1</w:t>
      </w:r>
      <w:r w:rsidR="005956B7">
        <w:rPr>
          <w:lang w:val="en-US"/>
        </w:rPr>
        <w:t xml:space="preserve"> for example)</w:t>
      </w:r>
    </w:p>
    <w:p w14:paraId="1381C778" w14:textId="77777777" w:rsidR="005956B7" w:rsidRDefault="005956B7" w:rsidP="005956B7">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956B7" w:rsidRPr="00DD3199" w14:paraId="6C08F536" w14:textId="77777777" w:rsidTr="004235B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4CDF0ED" w14:textId="77777777" w:rsidR="005956B7" w:rsidRPr="00DD3199" w:rsidRDefault="005956B7" w:rsidP="004235B5">
            <w:pPr>
              <w:pStyle w:val="TAH"/>
            </w:pPr>
            <w:r w:rsidRPr="00DD3199">
              <w:rPr>
                <w:noProof/>
                <w:lang w:val="en-US" w:eastAsia="zh-CN"/>
              </w:rPr>
              <w:drawing>
                <wp:inline distT="0" distB="0" distL="0" distR="0" wp14:anchorId="03F09FFB" wp14:editId="413624BE">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BA0A5FE" w14:textId="77777777" w:rsidR="005956B7" w:rsidRPr="00DD3199" w:rsidRDefault="005956B7" w:rsidP="004235B5">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D0CB858" w14:textId="77777777" w:rsidR="005956B7" w:rsidRPr="00DD3199" w:rsidRDefault="005956B7" w:rsidP="004235B5">
            <w:pPr>
              <w:pStyle w:val="TAH"/>
            </w:pPr>
            <w:r w:rsidRPr="00DD3199">
              <w:t>Interruption length X (slot</w:t>
            </w:r>
            <w:r>
              <w:t>s</w:t>
            </w:r>
            <w:r>
              <w:rPr>
                <w:vertAlign w:val="superscript"/>
              </w:rPr>
              <w:t>N</w:t>
            </w:r>
            <w:r w:rsidRPr="00DD3199">
              <w:rPr>
                <w:vertAlign w:val="superscript"/>
              </w:rPr>
              <w:t>ote 1</w:t>
            </w:r>
            <w:r w:rsidRPr="00DD3199">
              <w:t>)</w:t>
            </w:r>
          </w:p>
        </w:tc>
      </w:tr>
      <w:tr w:rsidR="005956B7" w:rsidRPr="00DD3199" w14:paraId="1967E090" w14:textId="77777777" w:rsidTr="004235B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1287" w14:textId="77777777" w:rsidR="005956B7" w:rsidRPr="00DD3199" w:rsidRDefault="005956B7" w:rsidP="004235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78CE6" w14:textId="77777777" w:rsidR="005956B7" w:rsidRPr="00DD3199" w:rsidRDefault="005956B7" w:rsidP="004235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34CF" w14:textId="77777777" w:rsidR="005956B7" w:rsidRPr="00DD3199" w:rsidRDefault="005956B7" w:rsidP="004235B5">
            <w:pPr>
              <w:spacing w:after="0"/>
              <w:rPr>
                <w:rFonts w:ascii="Arial" w:hAnsi="Arial"/>
                <w:b/>
                <w:sz w:val="18"/>
              </w:rPr>
            </w:pPr>
          </w:p>
        </w:tc>
      </w:tr>
      <w:tr w:rsidR="005956B7" w:rsidRPr="00DD3199" w14:paraId="274F073F"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411EB55A" w14:textId="77777777" w:rsidR="005956B7" w:rsidRPr="00DD3199" w:rsidRDefault="005956B7" w:rsidP="004235B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2200AA5" w14:textId="77777777" w:rsidR="005956B7" w:rsidRPr="00DD3199" w:rsidRDefault="005956B7" w:rsidP="004235B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32454AB0" w14:textId="77777777" w:rsidR="005956B7" w:rsidRPr="00DD3199" w:rsidRDefault="005956B7" w:rsidP="004235B5">
            <w:pPr>
              <w:pStyle w:val="TAC"/>
              <w:rPr>
                <w:lang w:eastAsia="zh-CN"/>
              </w:rPr>
            </w:pPr>
            <w:r>
              <w:rPr>
                <w:lang w:eastAsia="zh-CN"/>
              </w:rPr>
              <w:t>[</w:t>
            </w:r>
            <w:r w:rsidRPr="00DD3199">
              <w:rPr>
                <w:lang w:eastAsia="zh-CN"/>
              </w:rPr>
              <w:t>1</w:t>
            </w:r>
            <w:r>
              <w:rPr>
                <w:lang w:eastAsia="zh-CN"/>
              </w:rPr>
              <w:t>]</w:t>
            </w:r>
          </w:p>
        </w:tc>
      </w:tr>
      <w:tr w:rsidR="005956B7" w:rsidRPr="00DD3199" w14:paraId="78508A0E"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1DD5D667" w14:textId="77777777" w:rsidR="005956B7" w:rsidRPr="00DD3199" w:rsidRDefault="005956B7" w:rsidP="004235B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F8EF114" w14:textId="77777777" w:rsidR="005956B7" w:rsidRPr="00DD3199" w:rsidRDefault="005956B7" w:rsidP="004235B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9C366EE" w14:textId="77777777" w:rsidR="005956B7" w:rsidRPr="00961BD9" w:rsidRDefault="005956B7" w:rsidP="004235B5">
            <w:pPr>
              <w:pStyle w:val="TAC"/>
              <w:rPr>
                <w:lang w:eastAsia="zh-CN"/>
              </w:rPr>
            </w:pPr>
            <w:r w:rsidRPr="00961BD9">
              <w:rPr>
                <w:lang w:eastAsia="zh-CN"/>
              </w:rPr>
              <w:t>[2]</w:t>
            </w:r>
          </w:p>
        </w:tc>
      </w:tr>
      <w:tr w:rsidR="005956B7" w:rsidRPr="00DD3199" w14:paraId="13FC2FF9"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44CD33DF" w14:textId="77777777" w:rsidR="005956B7" w:rsidRPr="00DD3199" w:rsidRDefault="005956B7" w:rsidP="004235B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0F4BC45C" w14:textId="77777777" w:rsidR="005956B7" w:rsidRPr="00DD3199" w:rsidRDefault="005956B7" w:rsidP="004235B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8B8C8CC" w14:textId="6BDA1421" w:rsidR="005956B7" w:rsidRPr="00961BD9" w:rsidRDefault="005956B7" w:rsidP="004235B5">
            <w:pPr>
              <w:pStyle w:val="TAC"/>
              <w:rPr>
                <w:lang w:eastAsia="zh-CN"/>
              </w:rPr>
            </w:pPr>
            <w:r w:rsidRPr="00961BD9">
              <w:rPr>
                <w:lang w:eastAsia="zh-CN"/>
              </w:rPr>
              <w:t>[</w:t>
            </w:r>
            <w:r>
              <w:rPr>
                <w:lang w:eastAsia="zh-CN"/>
              </w:rPr>
              <w:t>4</w:t>
            </w:r>
            <w:r w:rsidRPr="00961BD9">
              <w:rPr>
                <w:lang w:eastAsia="zh-CN"/>
              </w:rPr>
              <w:t>]</w:t>
            </w:r>
          </w:p>
        </w:tc>
      </w:tr>
      <w:tr w:rsidR="005956B7" w:rsidRPr="00DD3199" w14:paraId="4C020117" w14:textId="77777777" w:rsidTr="004235B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CC93295" w14:textId="77777777" w:rsidR="005956B7" w:rsidRPr="00DD3199" w:rsidRDefault="005956B7" w:rsidP="004235B5">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5DA650C6" w14:textId="77777777" w:rsidR="005956B7" w:rsidRPr="00CD5D67" w:rsidRDefault="005956B7" w:rsidP="004235B5">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w:t>
            </w:r>
            <w:r>
              <w:t>t</w:t>
            </w:r>
            <w:r w:rsidRPr="00CD5D67">
              <w:t xml:space="preserve"> larger than the </w:t>
            </w:r>
            <w:r>
              <w:t>BWP</w:t>
            </w:r>
            <w:r w:rsidRPr="00CD5D67">
              <w:t xml:space="preserve"> of source cell. It is assumed that the </w:t>
            </w:r>
            <w:r>
              <w:t>CBW</w:t>
            </w:r>
            <w:r w:rsidRPr="00CD5D67">
              <w:t xml:space="preserve"> of target cell is no</w:t>
            </w:r>
            <w:r>
              <w:t>t</w:t>
            </w:r>
            <w:r w:rsidRPr="00CD5D67">
              <w:t xml:space="preserve"> larger than the </w:t>
            </w:r>
            <w:r>
              <w:t>CBW</w:t>
            </w:r>
            <w:r w:rsidRPr="00CD5D67">
              <w:t xml:space="preserve"> of source cell</w:t>
            </w:r>
          </w:p>
          <w:p w14:paraId="5075A32E" w14:textId="33CDDB35" w:rsidR="005956B7" w:rsidRPr="00DD3199" w:rsidRDefault="005956B7" w:rsidP="004235B5">
            <w:pPr>
              <w:pStyle w:val="TAN"/>
            </w:pPr>
            <w:r w:rsidRPr="00CD5D67">
              <w:t xml:space="preserve">Note </w:t>
            </w:r>
            <w:r>
              <w:t>3</w:t>
            </w:r>
            <w:r w:rsidRPr="00CD5D67">
              <w:t>:</w:t>
            </w:r>
            <w:r w:rsidRPr="00CD5D67">
              <w:tab/>
            </w:r>
            <w:r>
              <w:t>Void</w:t>
            </w:r>
          </w:p>
        </w:tc>
      </w:tr>
    </w:tbl>
    <w:p w14:paraId="599767B1" w14:textId="6E2E5E81" w:rsidR="005956B7" w:rsidRDefault="005956B7" w:rsidP="00EE549F">
      <w:pPr>
        <w:overflowPunct/>
        <w:autoSpaceDE/>
        <w:autoSpaceDN/>
        <w:adjustRightInd/>
        <w:spacing w:after="120"/>
        <w:textAlignment w:val="auto"/>
      </w:pPr>
      <w:r>
        <w:rPr>
          <w:lang w:val="en-US"/>
        </w:rPr>
        <w:t>The interruption is allowed since in some implementation UE needs to turn on additional baseband module and other component to handle data reception/transmission for the target cell. These operations may cause some glitch to the serving cell. Note that the above interruption length was agreed in a quite general way – it was not mentioned whether it applies for sync only or for both sync and async. In the last RAN4#94-e-bis, some companies mentioned in [1] that UE may cause more interruption in async scenario. In our view that’s true if we put a sync only capable UE under async scenario</w:t>
      </w:r>
      <w:r w:rsidR="00370E99">
        <w:rPr>
          <w:lang w:val="en-US"/>
        </w:rPr>
        <w:t>, due to limited processing capability</w:t>
      </w:r>
      <w:r>
        <w:rPr>
          <w:lang w:val="en-US"/>
        </w:rPr>
        <w:t xml:space="preserve">. </w:t>
      </w:r>
      <w:r w:rsidR="00370E99">
        <w:rPr>
          <w:lang w:val="en-US"/>
        </w:rPr>
        <w:t xml:space="preserve">However, if the UE is an async capable UE, in our view it may not cause more interruption then that defined in table </w:t>
      </w:r>
      <w:r w:rsidR="00370E99">
        <w:t>6.1.3</w:t>
      </w:r>
      <w:r w:rsidR="00370E99" w:rsidRPr="00DD3199">
        <w:t>.2.2</w:t>
      </w:r>
      <w:r w:rsidR="00370E99">
        <w:t>-</w:t>
      </w:r>
      <w:r w:rsidR="00370E99" w:rsidRPr="00DD3199">
        <w:t>1</w:t>
      </w:r>
      <w:r w:rsidR="00370E99">
        <w:t xml:space="preserve"> since we assume async capable UE should have stronger processing capability. Only interruption due to switching on additional modules should be enough and no</w:t>
      </w:r>
      <w:r w:rsidR="00CC7A9E">
        <w:t xml:space="preserve"> interruption due to baseband processing is needed. From baseband processing perspective, this is similar with async DC even though PCell and PSCell may be on different carriers. No additional interruption is allowed for baseband processing in async DC.</w:t>
      </w:r>
    </w:p>
    <w:p w14:paraId="35BE1502" w14:textId="1000F3C2" w:rsidR="00CC7A9E" w:rsidRPr="00CC7A9E" w:rsidRDefault="00CC7A9E" w:rsidP="00CC7A9E">
      <w:pPr>
        <w:pStyle w:val="Caption"/>
        <w:rPr>
          <w:b/>
          <w:bCs/>
          <w:color w:val="000000" w:themeColor="text1"/>
          <w:sz w:val="20"/>
          <w:szCs w:val="20"/>
        </w:rPr>
      </w:pPr>
      <w:r w:rsidRPr="00CC7A9E">
        <w:rPr>
          <w:b/>
          <w:bCs/>
          <w:color w:val="000000" w:themeColor="text1"/>
          <w:sz w:val="20"/>
          <w:szCs w:val="20"/>
        </w:rPr>
        <w:t xml:space="preserve">Proposal </w:t>
      </w:r>
      <w:r w:rsidRPr="00CC7A9E">
        <w:rPr>
          <w:b/>
          <w:bCs/>
          <w:color w:val="000000" w:themeColor="text1"/>
          <w:sz w:val="20"/>
          <w:szCs w:val="20"/>
        </w:rPr>
        <w:fldChar w:fldCharType="begin"/>
      </w:r>
      <w:r w:rsidRPr="00CC7A9E">
        <w:rPr>
          <w:b/>
          <w:bCs/>
          <w:color w:val="000000" w:themeColor="text1"/>
          <w:sz w:val="20"/>
          <w:szCs w:val="20"/>
        </w:rPr>
        <w:instrText xml:space="preserve"> SEQ Proposal \* ARABIC </w:instrText>
      </w:r>
      <w:r w:rsidRPr="00CC7A9E">
        <w:rPr>
          <w:b/>
          <w:bCs/>
          <w:color w:val="000000" w:themeColor="text1"/>
          <w:sz w:val="20"/>
          <w:szCs w:val="20"/>
        </w:rPr>
        <w:fldChar w:fldCharType="separate"/>
      </w:r>
      <w:r w:rsidR="00B91BF9">
        <w:rPr>
          <w:b/>
          <w:bCs/>
          <w:noProof/>
          <w:color w:val="000000" w:themeColor="text1"/>
          <w:sz w:val="20"/>
          <w:szCs w:val="20"/>
        </w:rPr>
        <w:t>1</w:t>
      </w:r>
      <w:r w:rsidRPr="00CC7A9E">
        <w:rPr>
          <w:b/>
          <w:bCs/>
          <w:color w:val="000000" w:themeColor="text1"/>
          <w:sz w:val="20"/>
          <w:szCs w:val="20"/>
        </w:rPr>
        <w:fldChar w:fldCharType="end"/>
      </w:r>
      <w:r w:rsidRPr="00CC7A9E">
        <w:rPr>
          <w:b/>
          <w:bCs/>
          <w:color w:val="000000" w:themeColor="text1"/>
          <w:sz w:val="20"/>
          <w:szCs w:val="20"/>
        </w:rPr>
        <w:t>: existing interruption requirements for intra-frequency DAPS HO are applied for both sync and async scenarios.</w:t>
      </w:r>
    </w:p>
    <w:p w14:paraId="03EC6BB6" w14:textId="5937AA35" w:rsidR="00CC7A9E" w:rsidRDefault="00CC7A9E" w:rsidP="00CC7A9E">
      <w:pPr>
        <w:pStyle w:val="Caption"/>
        <w:rPr>
          <w:b/>
          <w:bCs/>
          <w:color w:val="000000" w:themeColor="text1"/>
          <w:sz w:val="20"/>
          <w:szCs w:val="20"/>
        </w:rPr>
      </w:pPr>
      <w:r w:rsidRPr="00CC7A9E">
        <w:rPr>
          <w:b/>
          <w:bCs/>
          <w:color w:val="000000" w:themeColor="text1"/>
          <w:sz w:val="20"/>
          <w:szCs w:val="20"/>
        </w:rPr>
        <w:t xml:space="preserve">Proposal </w:t>
      </w:r>
      <w:r w:rsidRPr="00CC7A9E">
        <w:rPr>
          <w:b/>
          <w:bCs/>
          <w:color w:val="000000" w:themeColor="text1"/>
          <w:sz w:val="20"/>
          <w:szCs w:val="20"/>
        </w:rPr>
        <w:fldChar w:fldCharType="begin"/>
      </w:r>
      <w:r w:rsidRPr="00CC7A9E">
        <w:rPr>
          <w:b/>
          <w:bCs/>
          <w:color w:val="000000" w:themeColor="text1"/>
          <w:sz w:val="20"/>
          <w:szCs w:val="20"/>
        </w:rPr>
        <w:instrText xml:space="preserve"> SEQ Proposal \* ARABIC </w:instrText>
      </w:r>
      <w:r w:rsidRPr="00CC7A9E">
        <w:rPr>
          <w:b/>
          <w:bCs/>
          <w:color w:val="000000" w:themeColor="text1"/>
          <w:sz w:val="20"/>
          <w:szCs w:val="20"/>
        </w:rPr>
        <w:fldChar w:fldCharType="separate"/>
      </w:r>
      <w:r w:rsidR="00B91BF9">
        <w:rPr>
          <w:b/>
          <w:bCs/>
          <w:noProof/>
          <w:color w:val="000000" w:themeColor="text1"/>
          <w:sz w:val="20"/>
          <w:szCs w:val="20"/>
        </w:rPr>
        <w:t>2</w:t>
      </w:r>
      <w:r w:rsidRPr="00CC7A9E">
        <w:rPr>
          <w:b/>
          <w:bCs/>
          <w:color w:val="000000" w:themeColor="text1"/>
          <w:sz w:val="20"/>
          <w:szCs w:val="20"/>
        </w:rPr>
        <w:fldChar w:fldCharType="end"/>
      </w:r>
      <w:r w:rsidRPr="00CC7A9E">
        <w:rPr>
          <w:b/>
          <w:bCs/>
          <w:color w:val="000000" w:themeColor="text1"/>
          <w:sz w:val="20"/>
          <w:szCs w:val="20"/>
        </w:rPr>
        <w:t>: existing interruption requirements for intra-band inter-frequency DAPS HO are applied for both sync and async scenarios.</w:t>
      </w:r>
    </w:p>
    <w:p w14:paraId="6B52AFDA" w14:textId="436CF1EF" w:rsidR="00CC7A9E" w:rsidRDefault="00CC7A9E" w:rsidP="00CC7A9E">
      <w:pPr>
        <w:rPr>
          <w:lang w:val="en-US"/>
        </w:rPr>
      </w:pPr>
      <w:r>
        <w:rPr>
          <w:lang w:val="en-US"/>
        </w:rPr>
        <w:t>It is straightforward to observe that:</w:t>
      </w:r>
    </w:p>
    <w:p w14:paraId="458A48E6" w14:textId="01792430" w:rsidR="00CC7A9E" w:rsidRDefault="00CC7A9E" w:rsidP="00CC7A9E">
      <w:pPr>
        <w:pStyle w:val="Caption"/>
        <w:rPr>
          <w:b/>
          <w:bCs/>
          <w:color w:val="000000" w:themeColor="text1"/>
          <w:sz w:val="20"/>
          <w:szCs w:val="20"/>
        </w:rPr>
      </w:pPr>
      <w:r w:rsidRPr="00CC7A9E">
        <w:rPr>
          <w:b/>
          <w:bCs/>
          <w:color w:val="000000" w:themeColor="text1"/>
          <w:sz w:val="20"/>
          <w:szCs w:val="20"/>
        </w:rPr>
        <w:lastRenderedPageBreak/>
        <w:t xml:space="preserve">Observation </w:t>
      </w:r>
      <w:r w:rsidRPr="00CC7A9E">
        <w:rPr>
          <w:b/>
          <w:bCs/>
          <w:color w:val="000000" w:themeColor="text1"/>
          <w:sz w:val="20"/>
          <w:szCs w:val="20"/>
        </w:rPr>
        <w:fldChar w:fldCharType="begin"/>
      </w:r>
      <w:r w:rsidRPr="00CC7A9E">
        <w:rPr>
          <w:b/>
          <w:bCs/>
          <w:color w:val="000000" w:themeColor="text1"/>
          <w:sz w:val="20"/>
          <w:szCs w:val="20"/>
        </w:rPr>
        <w:instrText xml:space="preserve"> SEQ Observation \* ARABIC </w:instrText>
      </w:r>
      <w:r w:rsidRPr="00CC7A9E">
        <w:rPr>
          <w:b/>
          <w:bCs/>
          <w:color w:val="000000" w:themeColor="text1"/>
          <w:sz w:val="20"/>
          <w:szCs w:val="20"/>
        </w:rPr>
        <w:fldChar w:fldCharType="separate"/>
      </w:r>
      <w:r w:rsidR="007F3C9B">
        <w:rPr>
          <w:b/>
          <w:bCs/>
          <w:noProof/>
          <w:color w:val="000000" w:themeColor="text1"/>
          <w:sz w:val="20"/>
          <w:szCs w:val="20"/>
        </w:rPr>
        <w:t>1</w:t>
      </w:r>
      <w:r w:rsidRPr="00CC7A9E">
        <w:rPr>
          <w:b/>
          <w:bCs/>
          <w:color w:val="000000" w:themeColor="text1"/>
          <w:sz w:val="20"/>
          <w:szCs w:val="20"/>
        </w:rPr>
        <w:fldChar w:fldCharType="end"/>
      </w:r>
      <w:r w:rsidRPr="00CC7A9E">
        <w:rPr>
          <w:b/>
          <w:bCs/>
          <w:color w:val="000000" w:themeColor="text1"/>
          <w:sz w:val="20"/>
          <w:szCs w:val="20"/>
        </w:rPr>
        <w:t xml:space="preserve">: UE which only supports sync DAPS HO shall existing DAPS HO requirements as long as the condition </w:t>
      </w:r>
      <w:r>
        <w:rPr>
          <w:b/>
          <w:bCs/>
          <w:color w:val="000000" w:themeColor="text1"/>
          <w:sz w:val="20"/>
          <w:szCs w:val="20"/>
        </w:rPr>
        <w:t>for</w:t>
      </w:r>
      <w:r w:rsidRPr="00CC7A9E">
        <w:rPr>
          <w:b/>
          <w:bCs/>
          <w:color w:val="000000" w:themeColor="text1"/>
          <w:sz w:val="20"/>
          <w:szCs w:val="20"/>
        </w:rPr>
        <w:t xml:space="preserve"> sync</w:t>
      </w:r>
      <w:r>
        <w:rPr>
          <w:b/>
          <w:bCs/>
          <w:color w:val="000000" w:themeColor="text1"/>
          <w:sz w:val="20"/>
          <w:szCs w:val="20"/>
        </w:rPr>
        <w:t xml:space="preserve"> scenario</w:t>
      </w:r>
      <w:r w:rsidRPr="00CC7A9E">
        <w:rPr>
          <w:b/>
          <w:bCs/>
          <w:color w:val="000000" w:themeColor="text1"/>
          <w:sz w:val="20"/>
          <w:szCs w:val="20"/>
        </w:rPr>
        <w:t xml:space="preserve"> is met.</w:t>
      </w:r>
    </w:p>
    <w:p w14:paraId="495268F8" w14:textId="7991D106" w:rsidR="00CC7A9E" w:rsidRPr="00CC7A9E" w:rsidRDefault="00CC7A9E" w:rsidP="00CC7A9E"/>
    <w:p w14:paraId="6A0CD8B3" w14:textId="6929446E" w:rsidR="00CC7A9E" w:rsidRDefault="00CC7A9E" w:rsidP="00CC7A9E">
      <w:pPr>
        <w:rPr>
          <w:lang w:val="en-US"/>
        </w:rPr>
      </w:pPr>
      <w:r>
        <w:rPr>
          <w:lang w:val="en-US"/>
        </w:rPr>
        <w:t>Then we need to address the next open issue, i.e. what is condition for sync scenario.</w:t>
      </w:r>
      <w:r w:rsidR="00277E82">
        <w:rPr>
          <w:lang w:val="en-US"/>
        </w:rPr>
        <w:t xml:space="preserve"> Starting from intra-frequency scenario, we have three options on the table:</w:t>
      </w:r>
    </w:p>
    <w:p w14:paraId="1921F490" w14:textId="77777777" w:rsidR="00F9008C" w:rsidRPr="00F9008C" w:rsidRDefault="00F9008C" w:rsidP="00FF01B5">
      <w:pPr>
        <w:numPr>
          <w:ilvl w:val="0"/>
          <w:numId w:val="2"/>
        </w:numPr>
        <w:rPr>
          <w:lang w:val="en-US"/>
        </w:rPr>
      </w:pPr>
      <w:r w:rsidRPr="00F9008C">
        <w:rPr>
          <w:lang w:val="en-US"/>
        </w:rPr>
        <w:t>Option 1: it is assumed that source and target cells are co-located.</w:t>
      </w:r>
    </w:p>
    <w:p w14:paraId="46AFF860" w14:textId="77777777" w:rsidR="00F9008C" w:rsidRPr="00F9008C" w:rsidRDefault="00F9008C" w:rsidP="00FF01B5">
      <w:pPr>
        <w:numPr>
          <w:ilvl w:val="1"/>
          <w:numId w:val="2"/>
        </w:numPr>
        <w:rPr>
          <w:lang w:val="en-US"/>
        </w:rPr>
      </w:pPr>
      <w:r w:rsidRPr="00F9008C">
        <w:rPr>
          <w:lang w:val="en-US"/>
        </w:rPr>
        <w:t xml:space="preserve">3 us MRTD and 5.21 us MTTD between source and target cells is not exceeded: </w:t>
      </w:r>
      <w:r w:rsidRPr="00F9008C">
        <w:rPr>
          <w:lang w:val="en-US"/>
        </w:rPr>
        <w:br/>
        <w:t>Note: If the receive time difference exceeds the cyclic prefix length of that SCS, demodulation performance degradation is expected for the first symbol of the slot.</w:t>
      </w:r>
    </w:p>
    <w:p w14:paraId="67D86053" w14:textId="77777777" w:rsidR="00F9008C" w:rsidRPr="00F9008C" w:rsidRDefault="00F9008C" w:rsidP="00FF01B5">
      <w:pPr>
        <w:numPr>
          <w:ilvl w:val="0"/>
          <w:numId w:val="2"/>
        </w:numPr>
        <w:rPr>
          <w:lang w:val="en-US"/>
        </w:rPr>
      </w:pPr>
      <w:r w:rsidRPr="00F9008C">
        <w:rPr>
          <w:lang w:val="en-US"/>
        </w:rPr>
        <w:t>Option 2: it is assumed that source and target cells can be non-co-located.</w:t>
      </w:r>
    </w:p>
    <w:p w14:paraId="72F44E1B" w14:textId="77777777" w:rsidR="00F9008C" w:rsidRPr="00F9008C" w:rsidRDefault="00F9008C" w:rsidP="00FF01B5">
      <w:pPr>
        <w:numPr>
          <w:ilvl w:val="1"/>
          <w:numId w:val="2"/>
        </w:numPr>
        <w:rPr>
          <w:lang w:val="en-US"/>
        </w:rPr>
      </w:pPr>
      <w:r w:rsidRPr="00F9008C">
        <w:rPr>
          <w:lang w:val="en-US"/>
        </w:rPr>
        <w:t>33 us MRTD and 34.6 us MTTD between source and target cells is not exceeded</w:t>
      </w:r>
      <w:r w:rsidRPr="00F9008C">
        <w:rPr>
          <w:lang w:val="en-US"/>
        </w:rPr>
        <w:br/>
        <w:t>Note: If the receive time difference exceeds the cyclic prefix length of that SCS, demodulation performance degradation is expected for the first symbol of the slot.</w:t>
      </w:r>
    </w:p>
    <w:p w14:paraId="2165489D" w14:textId="77777777" w:rsidR="00F9008C" w:rsidRPr="00F9008C" w:rsidRDefault="00F9008C" w:rsidP="00FF01B5">
      <w:pPr>
        <w:numPr>
          <w:ilvl w:val="0"/>
          <w:numId w:val="2"/>
        </w:numPr>
        <w:rPr>
          <w:lang w:val="en-US"/>
        </w:rPr>
      </w:pPr>
      <w:r w:rsidRPr="00F9008C">
        <w:rPr>
          <w:lang w:val="en-US"/>
        </w:rPr>
        <w:t>Option 3: specify “Tight Sync” and “Loose Sync” for sync DAPS handover capabilities.</w:t>
      </w:r>
    </w:p>
    <w:p w14:paraId="459F6A9A" w14:textId="77777777" w:rsidR="00F9008C" w:rsidRPr="00F9008C" w:rsidRDefault="00F9008C" w:rsidP="00FF01B5">
      <w:pPr>
        <w:numPr>
          <w:ilvl w:val="1"/>
          <w:numId w:val="2"/>
        </w:numPr>
        <w:rPr>
          <w:lang w:val="en-US"/>
        </w:rPr>
      </w:pPr>
      <w:r w:rsidRPr="00F9008C">
        <w:rPr>
          <w:lang w:val="en-US"/>
        </w:rPr>
        <w:t xml:space="preserve">Tight Sync : 3 us MRTD and 5.21 us MTTD between source and target cells is not exceeded: </w:t>
      </w:r>
      <w:r w:rsidRPr="00F9008C">
        <w:rPr>
          <w:lang w:val="en-US"/>
        </w:rPr>
        <w:br/>
        <w:t xml:space="preserve">Note: If the receive time difference exceeds the cyclic prefix length of that SCS, demodulation performance degradation is expected for the first symbol of the slot. </w:t>
      </w:r>
    </w:p>
    <w:p w14:paraId="6F332BBD" w14:textId="1E19195D" w:rsidR="00277E82" w:rsidRDefault="00277E82" w:rsidP="00CC7A9E">
      <w:pPr>
        <w:rPr>
          <w:lang w:val="en-US"/>
        </w:rPr>
      </w:pPr>
      <w:r>
        <w:rPr>
          <w:lang w:val="en-US"/>
        </w:rPr>
        <w:t xml:space="preserve">To highlight our view, our first preference is option 1 and we can compromise to option 3. </w:t>
      </w:r>
      <w:r w:rsidR="005638F7">
        <w:rPr>
          <w:lang w:val="en-US"/>
        </w:rPr>
        <w:t xml:space="preserve">As for option 2, we don’t think it is a practical demand. 30+us MRTD/MTTD means when HO happens, the one of these two cells is 9km farther from UE than the other one. This 30+us is borrowed from CA/DC requirement. Note that in CA/DC 30+us is calculated assuming UE is in the center of one serving cell and it is 9km away from another serving cell. However, </w:t>
      </w:r>
      <w:r w:rsidR="00FE0E2B">
        <w:rPr>
          <w:lang w:val="en-US"/>
        </w:rPr>
        <w:t xml:space="preserve">this is not the typical place where DAPS HO happens. HO typically happens in the overlapped area. We don’t think it is realistic from network deployment perspective to assume 30+us MRTD/MTTD in the overlapped area. </w:t>
      </w:r>
    </w:p>
    <w:p w14:paraId="43EED662" w14:textId="36F0202F" w:rsidR="00FE0E2B" w:rsidRDefault="00FE0E2B" w:rsidP="00CC7A9E">
      <w:pPr>
        <w:rPr>
          <w:lang w:val="en-US"/>
        </w:rPr>
      </w:pPr>
      <w:r>
        <w:rPr>
          <w:lang w:val="en-US"/>
        </w:rPr>
        <w:t>From UE perspective, if the MRTD/MTTD exceed the CP duration, UE can hardly handle this using single FFT. Even for option 1, 3us is also greater than CP length of 30KHz and 60KHz SCS. Since 3us is the maximum synchronization error at network side, it is not suitable to define sync condition for DAPS HO as something smaller than 3us. That’s why we believe the Note under this option makes sense, i.e. i</w:t>
      </w:r>
      <w:r w:rsidR="00F9008C" w:rsidRPr="00F9008C">
        <w:rPr>
          <w:lang w:val="en-US"/>
        </w:rPr>
        <w:t>f the receive time difference exceeds the cyclic prefix length of that SCS, demodulation performance degradation is expected for the first symbol of the slot.</w:t>
      </w:r>
      <w:r>
        <w:rPr>
          <w:lang w:val="en-US"/>
        </w:rPr>
        <w:t xml:space="preserve"> We agree that option 1 may have some restriction at network side, i.e. network shall not trigger DAPS HO for sync only capable UE if the condition of sync is not met. This means sync only capable UE is only able to conduct DAPS HO for co-located and small </w:t>
      </w:r>
      <w:r w:rsidR="00F0498F">
        <w:rPr>
          <w:lang w:val="en-US"/>
        </w:rPr>
        <w:t xml:space="preserve">cell scenario (not necessarily limited to co-located case because 1) with GPS some gNB can do better than 3us; 2) 3us is assumed at overlapped area, which means as long as the propagation delay difference is relatively small DAPS HO is also possible </w:t>
      </w:r>
      <w:r w:rsidR="007F3C9B">
        <w:rPr>
          <w:lang w:val="en-US"/>
        </w:rPr>
        <w:t xml:space="preserve">even </w:t>
      </w:r>
      <w:r w:rsidR="00F0498F">
        <w:rPr>
          <w:lang w:val="en-US"/>
        </w:rPr>
        <w:t xml:space="preserve">with </w:t>
      </w:r>
      <w:r w:rsidR="007F3C9B">
        <w:rPr>
          <w:lang w:val="en-US"/>
        </w:rPr>
        <w:t>some</w:t>
      </w:r>
      <w:r w:rsidR="00F0498F">
        <w:rPr>
          <w:lang w:val="en-US"/>
        </w:rPr>
        <w:t xml:space="preserve"> sync error at network side). </w:t>
      </w:r>
      <w:r w:rsidR="007F3C9B">
        <w:rPr>
          <w:lang w:val="en-US"/>
        </w:rPr>
        <w:t>However, we believe this is still better than option 2 from feature usefulness perspective. If we force all UE to meet 30+us then UE with single FFT may have to claim NOT support this feature.</w:t>
      </w:r>
    </w:p>
    <w:p w14:paraId="39177901" w14:textId="49BF73B2" w:rsidR="007F3C9B" w:rsidRPr="00E33C64" w:rsidRDefault="007F3C9B" w:rsidP="007F3C9B">
      <w:pPr>
        <w:pStyle w:val="Caption"/>
        <w:rPr>
          <w:b/>
          <w:bCs/>
          <w:color w:val="000000" w:themeColor="text1"/>
          <w:sz w:val="20"/>
          <w:szCs w:val="20"/>
          <w:lang w:val="en-US"/>
        </w:rPr>
      </w:pPr>
      <w:r w:rsidRPr="00E33C64">
        <w:rPr>
          <w:b/>
          <w:bCs/>
          <w:color w:val="000000" w:themeColor="text1"/>
          <w:sz w:val="20"/>
          <w:szCs w:val="20"/>
        </w:rPr>
        <w:t xml:space="preserve">Observation </w:t>
      </w:r>
      <w:r w:rsidRPr="00E33C64">
        <w:rPr>
          <w:b/>
          <w:bCs/>
          <w:color w:val="000000" w:themeColor="text1"/>
          <w:sz w:val="20"/>
          <w:szCs w:val="20"/>
        </w:rPr>
        <w:fldChar w:fldCharType="begin"/>
      </w:r>
      <w:r w:rsidRPr="00E33C64">
        <w:rPr>
          <w:b/>
          <w:bCs/>
          <w:color w:val="000000" w:themeColor="text1"/>
          <w:sz w:val="20"/>
          <w:szCs w:val="20"/>
        </w:rPr>
        <w:instrText xml:space="preserve"> SEQ Observation \* ARABIC </w:instrText>
      </w:r>
      <w:r w:rsidRPr="00E33C64">
        <w:rPr>
          <w:b/>
          <w:bCs/>
          <w:color w:val="000000" w:themeColor="text1"/>
          <w:sz w:val="20"/>
          <w:szCs w:val="20"/>
        </w:rPr>
        <w:fldChar w:fldCharType="separate"/>
      </w:r>
      <w:r w:rsidRPr="00E33C64">
        <w:rPr>
          <w:b/>
          <w:bCs/>
          <w:noProof/>
          <w:color w:val="000000" w:themeColor="text1"/>
          <w:sz w:val="20"/>
          <w:szCs w:val="20"/>
        </w:rPr>
        <w:t>2</w:t>
      </w:r>
      <w:r w:rsidRPr="00E33C64">
        <w:rPr>
          <w:b/>
          <w:bCs/>
          <w:color w:val="000000" w:themeColor="text1"/>
          <w:sz w:val="20"/>
          <w:szCs w:val="20"/>
        </w:rPr>
        <w:fldChar w:fldCharType="end"/>
      </w:r>
      <w:r w:rsidRPr="00E33C64">
        <w:rPr>
          <w:b/>
          <w:bCs/>
          <w:color w:val="000000" w:themeColor="text1"/>
          <w:sz w:val="20"/>
          <w:szCs w:val="20"/>
        </w:rPr>
        <w:t>: option 2</w:t>
      </w:r>
      <w:r w:rsidR="00FC6BCE" w:rsidRPr="00E33C64">
        <w:rPr>
          <w:b/>
          <w:bCs/>
          <w:color w:val="000000" w:themeColor="text1"/>
          <w:sz w:val="20"/>
          <w:szCs w:val="20"/>
        </w:rPr>
        <w:t xml:space="preserve"> (30+us MRTD/MTTD)</w:t>
      </w:r>
      <w:r w:rsidRPr="00E33C64">
        <w:rPr>
          <w:b/>
          <w:bCs/>
          <w:color w:val="000000" w:themeColor="text1"/>
          <w:sz w:val="20"/>
          <w:szCs w:val="20"/>
        </w:rPr>
        <w:t xml:space="preserve"> aims to increase the usefulness of DAPS HO. However, the consequence may go in opposite direction, since </w:t>
      </w:r>
      <w:r w:rsidRPr="00E33C64">
        <w:rPr>
          <w:b/>
          <w:bCs/>
          <w:color w:val="000000" w:themeColor="text1"/>
          <w:sz w:val="20"/>
          <w:szCs w:val="20"/>
          <w:lang w:val="en-US"/>
        </w:rPr>
        <w:t>UE with single FFT may have to claim NOT support this feature.</w:t>
      </w:r>
    </w:p>
    <w:p w14:paraId="2DDEA42E" w14:textId="62E9861E" w:rsidR="007F3C9B" w:rsidRDefault="00F47A93" w:rsidP="007F3C9B">
      <w:pPr>
        <w:rPr>
          <w:lang w:val="en-US"/>
        </w:rPr>
      </w:pPr>
      <w:r>
        <w:rPr>
          <w:lang w:val="en-US"/>
        </w:rPr>
        <w:t xml:space="preserve">Option 3 is some midground between option 1 and 2, although we doubt there would quite a lot of UE will be designed specifically to meet “loose sync” requirement. Allowing UE to indicate support of “tight sync” can make can feature possible for single FFT UE at least for certain scenario even though the use case may be limited. </w:t>
      </w:r>
    </w:p>
    <w:p w14:paraId="6E84A9BF" w14:textId="4CC18EF8" w:rsidR="00F47A93" w:rsidRPr="00F47A93" w:rsidRDefault="00F47A93" w:rsidP="00F47A93">
      <w:pPr>
        <w:pStyle w:val="Caption"/>
        <w:rPr>
          <w:b/>
          <w:bCs/>
          <w:color w:val="000000" w:themeColor="text1"/>
          <w:sz w:val="20"/>
          <w:szCs w:val="20"/>
        </w:rPr>
      </w:pPr>
      <w:r w:rsidRPr="00F47A93">
        <w:rPr>
          <w:b/>
          <w:bCs/>
          <w:color w:val="000000" w:themeColor="text1"/>
          <w:sz w:val="20"/>
          <w:szCs w:val="20"/>
        </w:rPr>
        <w:t xml:space="preserve">Proposal </w:t>
      </w:r>
      <w:r w:rsidRPr="00F47A93">
        <w:rPr>
          <w:b/>
          <w:bCs/>
          <w:color w:val="000000" w:themeColor="text1"/>
          <w:sz w:val="20"/>
          <w:szCs w:val="20"/>
        </w:rPr>
        <w:fldChar w:fldCharType="begin"/>
      </w:r>
      <w:r w:rsidRPr="00F47A93">
        <w:rPr>
          <w:b/>
          <w:bCs/>
          <w:color w:val="000000" w:themeColor="text1"/>
          <w:sz w:val="20"/>
          <w:szCs w:val="20"/>
        </w:rPr>
        <w:instrText xml:space="preserve"> SEQ Proposal \* ARABIC </w:instrText>
      </w:r>
      <w:r w:rsidRPr="00F47A93">
        <w:rPr>
          <w:b/>
          <w:bCs/>
          <w:color w:val="000000" w:themeColor="text1"/>
          <w:sz w:val="20"/>
          <w:szCs w:val="20"/>
        </w:rPr>
        <w:fldChar w:fldCharType="separate"/>
      </w:r>
      <w:r w:rsidR="00B91BF9">
        <w:rPr>
          <w:b/>
          <w:bCs/>
          <w:noProof/>
          <w:color w:val="000000" w:themeColor="text1"/>
          <w:sz w:val="20"/>
          <w:szCs w:val="20"/>
        </w:rPr>
        <w:t>3</w:t>
      </w:r>
      <w:r w:rsidRPr="00F47A93">
        <w:rPr>
          <w:b/>
          <w:bCs/>
          <w:color w:val="000000" w:themeColor="text1"/>
          <w:sz w:val="20"/>
          <w:szCs w:val="20"/>
        </w:rPr>
        <w:fldChar w:fldCharType="end"/>
      </w:r>
      <w:r w:rsidRPr="00F47A93">
        <w:rPr>
          <w:b/>
          <w:bCs/>
          <w:color w:val="000000" w:themeColor="text1"/>
          <w:sz w:val="20"/>
          <w:szCs w:val="20"/>
        </w:rPr>
        <w:t xml:space="preserve">: option 1 for </w:t>
      </w:r>
      <w:r>
        <w:rPr>
          <w:b/>
          <w:bCs/>
          <w:color w:val="000000" w:themeColor="text1"/>
          <w:sz w:val="20"/>
          <w:szCs w:val="20"/>
        </w:rPr>
        <w:t>s</w:t>
      </w:r>
      <w:r w:rsidRPr="00F47A93">
        <w:rPr>
          <w:b/>
          <w:bCs/>
          <w:color w:val="000000" w:themeColor="text1"/>
          <w:sz w:val="20"/>
          <w:szCs w:val="20"/>
        </w:rPr>
        <w:t>ide condition for intra-frequency sync DAPS HO:</w:t>
      </w:r>
    </w:p>
    <w:p w14:paraId="33CB0A8F" w14:textId="4137A5AF" w:rsidR="00F47A93" w:rsidRPr="00F47A93" w:rsidRDefault="00F47A93" w:rsidP="00F47A93">
      <w:pPr>
        <w:pStyle w:val="Caption"/>
        <w:ind w:left="284"/>
        <w:rPr>
          <w:b/>
          <w:bCs/>
          <w:color w:val="000000" w:themeColor="text1"/>
          <w:sz w:val="20"/>
          <w:szCs w:val="20"/>
        </w:rPr>
      </w:pPr>
      <w:r w:rsidRPr="00F47A93">
        <w:rPr>
          <w:b/>
          <w:bCs/>
          <w:color w:val="000000" w:themeColor="text1"/>
          <w:sz w:val="20"/>
          <w:szCs w:val="20"/>
        </w:rPr>
        <w:t xml:space="preserve">UE which only support sync DAPS HO shall meet existing DAPS HO requirement as long as: 3 us MRTD and 5.21 us MTTD between source and target cells is not exceeded. </w:t>
      </w:r>
      <w:r w:rsidRPr="00F47A93">
        <w:rPr>
          <w:b/>
          <w:bCs/>
          <w:color w:val="000000" w:themeColor="text1"/>
          <w:sz w:val="20"/>
          <w:szCs w:val="20"/>
        </w:rPr>
        <w:br/>
        <w:t>Note: If the receive time difference exceeds the cyclic prefix length of that SCS, demodulation performance degradation is expected for the first symbol of the slot.</w:t>
      </w:r>
    </w:p>
    <w:p w14:paraId="2E6621A7" w14:textId="59A9B062" w:rsidR="00F47A93" w:rsidRPr="00F47A93" w:rsidRDefault="00F47A93" w:rsidP="00F47A93">
      <w:pPr>
        <w:pStyle w:val="Caption"/>
        <w:rPr>
          <w:b/>
          <w:bCs/>
          <w:color w:val="000000" w:themeColor="text1"/>
          <w:sz w:val="20"/>
          <w:szCs w:val="20"/>
        </w:rPr>
      </w:pPr>
      <w:r w:rsidRPr="00F47A93">
        <w:rPr>
          <w:b/>
          <w:bCs/>
          <w:color w:val="000000" w:themeColor="text1"/>
          <w:sz w:val="20"/>
          <w:szCs w:val="20"/>
        </w:rPr>
        <w:t xml:space="preserve">Proposal </w:t>
      </w:r>
      <w:r w:rsidRPr="00F47A93">
        <w:rPr>
          <w:b/>
          <w:bCs/>
          <w:color w:val="000000" w:themeColor="text1"/>
          <w:sz w:val="20"/>
          <w:szCs w:val="20"/>
        </w:rPr>
        <w:fldChar w:fldCharType="begin"/>
      </w:r>
      <w:r w:rsidRPr="00F47A93">
        <w:rPr>
          <w:b/>
          <w:bCs/>
          <w:color w:val="000000" w:themeColor="text1"/>
          <w:sz w:val="20"/>
          <w:szCs w:val="20"/>
        </w:rPr>
        <w:instrText xml:space="preserve"> SEQ Proposal \* ARABIC </w:instrText>
      </w:r>
      <w:r w:rsidRPr="00F47A93">
        <w:rPr>
          <w:b/>
          <w:bCs/>
          <w:color w:val="000000" w:themeColor="text1"/>
          <w:sz w:val="20"/>
          <w:szCs w:val="20"/>
        </w:rPr>
        <w:fldChar w:fldCharType="separate"/>
      </w:r>
      <w:r w:rsidR="00B91BF9">
        <w:rPr>
          <w:b/>
          <w:bCs/>
          <w:noProof/>
          <w:color w:val="000000" w:themeColor="text1"/>
          <w:sz w:val="20"/>
          <w:szCs w:val="20"/>
        </w:rPr>
        <w:t>4</w:t>
      </w:r>
      <w:r w:rsidRPr="00F47A93">
        <w:rPr>
          <w:b/>
          <w:bCs/>
          <w:color w:val="000000" w:themeColor="text1"/>
          <w:sz w:val="20"/>
          <w:szCs w:val="20"/>
        </w:rPr>
        <w:fldChar w:fldCharType="end"/>
      </w:r>
      <w:r w:rsidRPr="00F47A93">
        <w:rPr>
          <w:b/>
          <w:bCs/>
          <w:color w:val="000000" w:themeColor="text1"/>
          <w:sz w:val="20"/>
          <w:szCs w:val="20"/>
        </w:rPr>
        <w:t>: option 1 for side condition for intra-band inter-frequency sync DAPS HO:</w:t>
      </w:r>
    </w:p>
    <w:p w14:paraId="18E3E120" w14:textId="6463675A" w:rsidR="00CC7A9E" w:rsidRDefault="00F47A93" w:rsidP="00F47A93">
      <w:pPr>
        <w:pStyle w:val="Caption"/>
        <w:ind w:left="284"/>
        <w:rPr>
          <w:b/>
          <w:bCs/>
          <w:color w:val="000000" w:themeColor="text1"/>
          <w:sz w:val="20"/>
          <w:szCs w:val="20"/>
        </w:rPr>
      </w:pPr>
      <w:r w:rsidRPr="00F47A93">
        <w:rPr>
          <w:b/>
          <w:bCs/>
          <w:color w:val="000000" w:themeColor="text1"/>
          <w:sz w:val="20"/>
          <w:szCs w:val="20"/>
        </w:rPr>
        <w:t>UE which only support sync DAPS HO shall meet existing DAPS HO requirement as long as:</w:t>
      </w:r>
      <w:r w:rsidR="00A76C97">
        <w:rPr>
          <w:b/>
          <w:bCs/>
          <w:color w:val="000000" w:themeColor="text1"/>
          <w:sz w:val="20"/>
          <w:szCs w:val="20"/>
        </w:rPr>
        <w:t xml:space="preserve"> </w:t>
      </w:r>
      <w:r w:rsidRPr="00F47A93">
        <w:rPr>
          <w:b/>
          <w:bCs/>
          <w:color w:val="000000" w:themeColor="text1"/>
          <w:sz w:val="20"/>
          <w:szCs w:val="20"/>
        </w:rPr>
        <w:t>3 us MRTD and 5.21 us MTTD between source and target cells is not exceeded</w:t>
      </w:r>
      <w:r w:rsidR="00A76C97">
        <w:rPr>
          <w:b/>
          <w:bCs/>
          <w:color w:val="000000" w:themeColor="text1"/>
          <w:sz w:val="20"/>
          <w:szCs w:val="20"/>
        </w:rPr>
        <w:t>.</w:t>
      </w:r>
      <w:r w:rsidRPr="00F47A93">
        <w:rPr>
          <w:b/>
          <w:bCs/>
          <w:color w:val="000000" w:themeColor="text1"/>
          <w:sz w:val="20"/>
          <w:szCs w:val="20"/>
        </w:rPr>
        <w:br/>
        <w:t>Note: If the receive time difference exceeds the cyclic prefix length of that SCS, demodulation performance degradation is expected for the first symbol of the slot.</w:t>
      </w:r>
    </w:p>
    <w:p w14:paraId="5480D012" w14:textId="6CBB1D5A" w:rsidR="00E33C64" w:rsidRDefault="00E33C64" w:rsidP="00E33C64"/>
    <w:p w14:paraId="6161E53A" w14:textId="4F452DCC" w:rsidR="00E33C64" w:rsidRDefault="00E33C64" w:rsidP="00E33C64">
      <w:r>
        <w:lastRenderedPageBreak/>
        <w:t>Another thing is about RAN1 LS in [3].</w:t>
      </w:r>
    </w:p>
    <w:tbl>
      <w:tblPr>
        <w:tblStyle w:val="TableGrid"/>
        <w:tblW w:w="0" w:type="auto"/>
        <w:tblLook w:val="04A0" w:firstRow="1" w:lastRow="0" w:firstColumn="1" w:lastColumn="0" w:noHBand="0" w:noVBand="1"/>
      </w:tblPr>
      <w:tblGrid>
        <w:gridCol w:w="9629"/>
      </w:tblGrid>
      <w:tr w:rsidR="00E33C64" w14:paraId="642885C8" w14:textId="77777777" w:rsidTr="00E33C64">
        <w:tc>
          <w:tcPr>
            <w:tcW w:w="9629" w:type="dxa"/>
          </w:tcPr>
          <w:p w14:paraId="01A12526" w14:textId="77777777" w:rsidR="00E33C64" w:rsidRDefault="00E33C64" w:rsidP="00E33C64">
            <w:pPr>
              <w:rPr>
                <w:rFonts w:ascii="Arial" w:hAnsi="Arial" w:cs="Arial"/>
              </w:rPr>
            </w:pPr>
            <w:r>
              <w:rPr>
                <w:rFonts w:ascii="Arial" w:hAnsi="Arial" w:cs="Arial"/>
              </w:rPr>
              <w:t xml:space="preserve">RAN1 has discussed implication of UE receiver implementation from support of simultaneous reception of DL signals/channels that are overlapping in time only (and does not overlap in frequency) and in time and frequency for intra-frequency DAPS HO. </w:t>
            </w:r>
          </w:p>
          <w:p w14:paraId="1E1ACDF7" w14:textId="77777777" w:rsidR="00E33C64" w:rsidRDefault="00E33C64" w:rsidP="00E33C64">
            <w:pPr>
              <w:rPr>
                <w:rFonts w:ascii="Arial" w:hAnsi="Arial" w:cs="Arial"/>
              </w:rPr>
            </w:pPr>
          </w:p>
          <w:p w14:paraId="055C4830" w14:textId="77777777" w:rsidR="00E33C64" w:rsidRDefault="00E33C64" w:rsidP="00E33C64">
            <w:pPr>
              <w:rPr>
                <w:rFonts w:ascii="Arial" w:hAnsi="Arial" w:cs="Arial"/>
              </w:rPr>
            </w:pPr>
            <w:r>
              <w:rPr>
                <w:rFonts w:ascii="Arial" w:hAnsi="Arial" w:cs="Arial"/>
              </w:rPr>
              <w:t>Due to the concerns of mandating advanced receivers in specific scenarios (e.g. when DL signals/channels overlap in time and frequency) for intra-frequency DAPS HO, RAN1 has agreed to the following:</w:t>
            </w:r>
          </w:p>
          <w:p w14:paraId="404A150B" w14:textId="77777777" w:rsidR="00E33C64" w:rsidRDefault="00E33C64" w:rsidP="00E33C64">
            <w:pPr>
              <w:rPr>
                <w:rFonts w:ascii="Arial" w:hAnsi="Arial" w:cs="Arial"/>
              </w:rPr>
            </w:pPr>
          </w:p>
          <w:p w14:paraId="751620A5" w14:textId="77777777" w:rsidR="00E33C64" w:rsidRPr="00F4490B" w:rsidRDefault="00E33C64" w:rsidP="00E33C64">
            <w:pPr>
              <w:spacing w:after="120"/>
              <w:rPr>
                <w:rFonts w:ascii="Arial" w:hAnsi="Arial" w:cs="Arial"/>
                <w:b/>
                <w:bCs/>
              </w:rPr>
            </w:pPr>
            <w:r w:rsidRPr="00F4490B">
              <w:rPr>
                <w:rFonts w:ascii="Arial" w:hAnsi="Arial" w:cs="Arial"/>
                <w:b/>
                <w:bCs/>
              </w:rPr>
              <w:t>Agreement:</w:t>
            </w:r>
          </w:p>
          <w:p w14:paraId="6CEF53C6" w14:textId="77777777" w:rsidR="00E33C64" w:rsidRPr="00F4490B" w:rsidRDefault="00E33C64" w:rsidP="00E33C64">
            <w:pPr>
              <w:pStyle w:val="ListParagraph"/>
              <w:numPr>
                <w:ilvl w:val="0"/>
                <w:numId w:val="7"/>
              </w:numPr>
              <w:spacing w:after="120"/>
              <w:contextualSpacing w:val="0"/>
              <w:rPr>
                <w:rFonts w:ascii="Arial" w:hAnsi="Arial" w:cs="Arial"/>
              </w:rPr>
            </w:pPr>
            <w:r>
              <w:rPr>
                <w:rFonts w:ascii="Arial" w:hAnsi="Arial" w:cs="Arial"/>
              </w:rPr>
              <w:t xml:space="preserve">RAN1 assumes the UE is not required to use interference cancellation based </w:t>
            </w:r>
            <w:r w:rsidRPr="00F4490B">
              <w:rPr>
                <w:rFonts w:ascii="Arial" w:hAnsi="Arial" w:cs="Arial"/>
              </w:rPr>
              <w:t xml:space="preserve">receiver </w:t>
            </w:r>
            <w:r>
              <w:rPr>
                <w:rFonts w:ascii="Arial" w:hAnsi="Arial" w:cs="Arial"/>
              </w:rPr>
              <w:t>to receive</w:t>
            </w:r>
            <w:r w:rsidRPr="00F4490B">
              <w:rPr>
                <w:rFonts w:ascii="Arial" w:hAnsi="Arial" w:cs="Arial"/>
              </w:rPr>
              <w:t xml:space="preserve"> a PDCCH and/or </w:t>
            </w:r>
            <w:r>
              <w:rPr>
                <w:rFonts w:ascii="Arial" w:hAnsi="Arial" w:cs="Arial"/>
              </w:rPr>
              <w:t xml:space="preserve">a </w:t>
            </w:r>
            <w:r w:rsidRPr="00F4490B">
              <w:rPr>
                <w:rFonts w:ascii="Arial" w:hAnsi="Arial" w:cs="Arial"/>
              </w:rPr>
              <w:t>PDSCH from both a source and a target cell in resources that overlap in time and frequency.</w:t>
            </w:r>
            <w:r>
              <w:rPr>
                <w:rFonts w:ascii="Arial" w:hAnsi="Arial" w:cs="Arial"/>
              </w:rPr>
              <w:t xml:space="preserve"> Whether and how to define requirement would be up to RAN4.</w:t>
            </w:r>
          </w:p>
          <w:p w14:paraId="346DBA42" w14:textId="77777777" w:rsidR="00E33C64" w:rsidRDefault="00E33C64" w:rsidP="00E33C64">
            <w:pPr>
              <w:spacing w:after="120"/>
              <w:rPr>
                <w:rFonts w:ascii="Arial" w:hAnsi="Arial" w:cs="Arial"/>
              </w:rPr>
            </w:pPr>
          </w:p>
          <w:p w14:paraId="708F3C08" w14:textId="77777777" w:rsidR="00E33C64" w:rsidRDefault="00E33C64" w:rsidP="00E33C64">
            <w:pPr>
              <w:spacing w:after="120"/>
              <w:rPr>
                <w:rFonts w:ascii="Arial" w:hAnsi="Arial" w:cs="Arial"/>
              </w:rPr>
            </w:pPr>
            <w:r>
              <w:rPr>
                <w:rFonts w:ascii="Arial" w:hAnsi="Arial" w:cs="Arial"/>
              </w:rPr>
              <w:t>Please note that RAN1 assumes that i</w:t>
            </w:r>
            <w:r w:rsidRPr="00E8301C">
              <w:rPr>
                <w:rFonts w:ascii="Arial" w:hAnsi="Arial" w:cs="Arial"/>
              </w:rPr>
              <w:t>t is up to gNB to correctly configure MCS and resources to combat for interference in receiving signals</w:t>
            </w:r>
            <w:r>
              <w:rPr>
                <w:rFonts w:ascii="Arial" w:hAnsi="Arial" w:cs="Arial"/>
              </w:rPr>
              <w:t xml:space="preserve"> during DAPS HO.</w:t>
            </w:r>
          </w:p>
          <w:p w14:paraId="41FEF8BD" w14:textId="77777777" w:rsidR="00E33C64" w:rsidRDefault="00E33C64" w:rsidP="00E33C64">
            <w:pPr>
              <w:spacing w:after="120"/>
              <w:rPr>
                <w:rFonts w:ascii="Arial" w:hAnsi="Arial" w:cs="Arial"/>
              </w:rPr>
            </w:pPr>
          </w:p>
          <w:p w14:paraId="1B31E4F0" w14:textId="7EDDB656" w:rsidR="00E33C64" w:rsidRPr="00E33C64" w:rsidRDefault="00E33C64" w:rsidP="00E33C64">
            <w:pPr>
              <w:rPr>
                <w:rFonts w:ascii="Arial" w:hAnsi="Arial" w:cs="Arial"/>
              </w:rPr>
            </w:pPr>
            <w:r>
              <w:rPr>
                <w:rFonts w:ascii="Arial" w:hAnsi="Arial" w:cs="Arial"/>
              </w:rPr>
              <w:t>RAN1 would like</w:t>
            </w:r>
            <w:r w:rsidRPr="000878DD">
              <w:rPr>
                <w:rFonts w:ascii="Arial" w:hAnsi="Arial" w:cs="Arial"/>
              </w:rPr>
              <w:t xml:space="preserve"> </w:t>
            </w:r>
            <w:r>
              <w:rPr>
                <w:rFonts w:ascii="Arial" w:hAnsi="Arial" w:cs="Arial"/>
              </w:rPr>
              <w:t xml:space="preserve">to </w:t>
            </w:r>
            <w:r w:rsidRPr="000878DD">
              <w:rPr>
                <w:rFonts w:ascii="Arial" w:hAnsi="Arial" w:cs="Arial"/>
              </w:rPr>
              <w:t>kindly ask</w:t>
            </w:r>
            <w:r>
              <w:rPr>
                <w:rFonts w:ascii="Arial" w:hAnsi="Arial" w:cs="Arial"/>
              </w:rPr>
              <w:t xml:space="preserve"> RAN4</w:t>
            </w:r>
            <w:r w:rsidRPr="000878DD">
              <w:rPr>
                <w:rFonts w:ascii="Arial" w:hAnsi="Arial" w:cs="Arial"/>
              </w:rPr>
              <w:t xml:space="preserve"> to consider the above in their further work</w:t>
            </w:r>
            <w:r>
              <w:rPr>
                <w:rFonts w:ascii="Arial" w:hAnsi="Arial" w:cs="Arial"/>
              </w:rPr>
              <w:t xml:space="preserve"> and if needed, let RAN1 know if there are any issues with the agreement.</w:t>
            </w:r>
          </w:p>
        </w:tc>
      </w:tr>
    </w:tbl>
    <w:p w14:paraId="7E6B1981" w14:textId="5F9B9378" w:rsidR="00E33C64" w:rsidRDefault="00E33C64" w:rsidP="00E33C64">
      <w:r>
        <w:t xml:space="preserve">In general, we support RAN1 conclusion. Regarding how to define requirement in RAN4, in our view this is more like demodulation performance. We don’t think it is worthwhile to develop demodulation test for this </w:t>
      </w:r>
      <w:r w:rsidRPr="00E33C64">
        <w:t>transitory</w:t>
      </w:r>
      <w:r>
        <w:t xml:space="preserve"> period. On the other hand, impact on demodulation specification is NOT in the scope of this work item.</w:t>
      </w:r>
      <w:r w:rsidR="004F3FCB">
        <w:t xml:space="preserve"> In RRM test we can at most verify missing ACK/NACK according to interruption requirement. However, to make sure the interruption requirement is correctly verified, RAN4 usually use low MCK to avoid additional “interruption” due to demodulation error. </w:t>
      </w:r>
      <w:r w:rsidR="00B91BF9">
        <w:t>Thus, this may not be even reflected in RRM test.</w:t>
      </w:r>
    </w:p>
    <w:p w14:paraId="6DB1A2E4" w14:textId="15C21360" w:rsidR="00B91BF9" w:rsidRPr="00B91BF9" w:rsidRDefault="00B91BF9" w:rsidP="00B91BF9">
      <w:pPr>
        <w:pStyle w:val="Caption"/>
        <w:rPr>
          <w:b/>
          <w:bCs/>
          <w:color w:val="000000" w:themeColor="text1"/>
          <w:sz w:val="20"/>
          <w:szCs w:val="20"/>
        </w:rPr>
      </w:pPr>
      <w:r w:rsidRPr="00B91BF9">
        <w:rPr>
          <w:b/>
          <w:bCs/>
          <w:color w:val="000000" w:themeColor="text1"/>
          <w:sz w:val="20"/>
          <w:szCs w:val="20"/>
        </w:rPr>
        <w:t xml:space="preserve">Proposal </w:t>
      </w:r>
      <w:r w:rsidRPr="00B91BF9">
        <w:rPr>
          <w:b/>
          <w:bCs/>
          <w:color w:val="000000" w:themeColor="text1"/>
          <w:sz w:val="20"/>
          <w:szCs w:val="20"/>
        </w:rPr>
        <w:fldChar w:fldCharType="begin"/>
      </w:r>
      <w:r w:rsidRPr="00B91BF9">
        <w:rPr>
          <w:b/>
          <w:bCs/>
          <w:color w:val="000000" w:themeColor="text1"/>
          <w:sz w:val="20"/>
          <w:szCs w:val="20"/>
        </w:rPr>
        <w:instrText xml:space="preserve"> SEQ Proposal \* ARABIC </w:instrText>
      </w:r>
      <w:r w:rsidRPr="00B91BF9">
        <w:rPr>
          <w:b/>
          <w:bCs/>
          <w:color w:val="000000" w:themeColor="text1"/>
          <w:sz w:val="20"/>
          <w:szCs w:val="20"/>
        </w:rPr>
        <w:fldChar w:fldCharType="separate"/>
      </w:r>
      <w:r w:rsidRPr="00B91BF9">
        <w:rPr>
          <w:b/>
          <w:bCs/>
          <w:noProof/>
          <w:color w:val="000000" w:themeColor="text1"/>
          <w:sz w:val="20"/>
          <w:szCs w:val="20"/>
        </w:rPr>
        <w:t>5</w:t>
      </w:r>
      <w:r w:rsidRPr="00B91BF9">
        <w:rPr>
          <w:b/>
          <w:bCs/>
          <w:color w:val="000000" w:themeColor="text1"/>
          <w:sz w:val="20"/>
          <w:szCs w:val="20"/>
        </w:rPr>
        <w:fldChar w:fldCharType="end"/>
      </w:r>
      <w:r w:rsidRPr="00B91BF9">
        <w:rPr>
          <w:b/>
          <w:bCs/>
          <w:color w:val="000000" w:themeColor="text1"/>
          <w:sz w:val="20"/>
          <w:szCs w:val="20"/>
        </w:rPr>
        <w:t>: RAN1 assumption is rational to RAN4. However, RAN4 will not define corresponding requirement.</w:t>
      </w:r>
    </w:p>
    <w:p w14:paraId="79A44764" w14:textId="439B4089" w:rsidR="00C81190" w:rsidRDefault="00395052" w:rsidP="00395052">
      <w:pPr>
        <w:pStyle w:val="Heading1"/>
      </w:pPr>
      <w:r>
        <w:t>3</w:t>
      </w:r>
      <w:r>
        <w:tab/>
        <w:t>Conclusion</w:t>
      </w:r>
    </w:p>
    <w:p w14:paraId="2735EFF7" w14:textId="20B151D7" w:rsidR="00FC649F" w:rsidRDefault="00322F1F" w:rsidP="00FC649F">
      <w:pPr>
        <w:rPr>
          <w:lang w:eastAsia="zh-CN"/>
        </w:rPr>
      </w:pPr>
      <w:r>
        <w:rPr>
          <w:lang w:eastAsia="zh-CN"/>
        </w:rPr>
        <w:t>In this contribution</w:t>
      </w:r>
      <w:r w:rsidR="003025C5">
        <w:rPr>
          <w:lang w:eastAsia="zh-CN"/>
        </w:rPr>
        <w:t xml:space="preserve"> we provide further discussion on </w:t>
      </w:r>
      <w:r w:rsidR="00207AB3">
        <w:rPr>
          <w:lang w:eastAsia="zh-CN"/>
        </w:rPr>
        <w:t>DAPS handover. After discussion the following conclusions are provided:</w:t>
      </w:r>
    </w:p>
    <w:p w14:paraId="29701163" w14:textId="22B022AA" w:rsidR="00FC6BCE" w:rsidRPr="00CC7A9E" w:rsidRDefault="00FC6BCE" w:rsidP="00FC6BCE">
      <w:pPr>
        <w:pStyle w:val="Caption"/>
        <w:rPr>
          <w:b/>
          <w:bCs/>
          <w:color w:val="000000" w:themeColor="text1"/>
          <w:sz w:val="20"/>
          <w:szCs w:val="20"/>
        </w:rPr>
      </w:pPr>
      <w:r w:rsidRPr="00CC7A9E">
        <w:rPr>
          <w:b/>
          <w:bCs/>
          <w:color w:val="000000" w:themeColor="text1"/>
          <w:sz w:val="20"/>
          <w:szCs w:val="20"/>
        </w:rPr>
        <w:t xml:space="preserve">Proposal </w:t>
      </w:r>
      <w:r w:rsidR="00B91BF9">
        <w:rPr>
          <w:b/>
          <w:bCs/>
          <w:color w:val="000000" w:themeColor="text1"/>
          <w:sz w:val="20"/>
          <w:szCs w:val="20"/>
        </w:rPr>
        <w:t>1</w:t>
      </w:r>
      <w:r w:rsidRPr="00CC7A9E">
        <w:rPr>
          <w:b/>
          <w:bCs/>
          <w:color w:val="000000" w:themeColor="text1"/>
          <w:sz w:val="20"/>
          <w:szCs w:val="20"/>
        </w:rPr>
        <w:t>: existing interruption requirements for intra-frequency DAPS HO are applied for both sync and async scenarios.</w:t>
      </w:r>
    </w:p>
    <w:p w14:paraId="4B57D05E" w14:textId="48B01BD1" w:rsidR="00FC6BCE" w:rsidRDefault="00FC6BCE" w:rsidP="00FC6BCE">
      <w:pPr>
        <w:pStyle w:val="Caption"/>
        <w:rPr>
          <w:b/>
          <w:bCs/>
          <w:color w:val="000000" w:themeColor="text1"/>
          <w:sz w:val="20"/>
          <w:szCs w:val="20"/>
        </w:rPr>
      </w:pPr>
      <w:r w:rsidRPr="00CC7A9E">
        <w:rPr>
          <w:b/>
          <w:bCs/>
          <w:color w:val="000000" w:themeColor="text1"/>
          <w:sz w:val="20"/>
          <w:szCs w:val="20"/>
        </w:rPr>
        <w:t xml:space="preserve">Proposal </w:t>
      </w:r>
      <w:r w:rsidR="00B91BF9">
        <w:rPr>
          <w:b/>
          <w:bCs/>
          <w:color w:val="000000" w:themeColor="text1"/>
          <w:sz w:val="20"/>
          <w:szCs w:val="20"/>
        </w:rPr>
        <w:t>2</w:t>
      </w:r>
      <w:r w:rsidRPr="00CC7A9E">
        <w:rPr>
          <w:b/>
          <w:bCs/>
          <w:color w:val="000000" w:themeColor="text1"/>
          <w:sz w:val="20"/>
          <w:szCs w:val="20"/>
        </w:rPr>
        <w:t>: existing interruption requirements for intra-band inter-frequency DAPS HO are applied for both sync and async scenarios.</w:t>
      </w:r>
    </w:p>
    <w:p w14:paraId="1DDE56C5" w14:textId="77777777" w:rsidR="00FC6BCE" w:rsidRDefault="00FC6BCE" w:rsidP="00FC6BCE">
      <w:pPr>
        <w:pStyle w:val="Caption"/>
        <w:rPr>
          <w:b/>
          <w:bCs/>
          <w:color w:val="000000" w:themeColor="text1"/>
          <w:sz w:val="20"/>
          <w:szCs w:val="20"/>
        </w:rPr>
      </w:pPr>
      <w:r w:rsidRPr="00CC7A9E">
        <w:rPr>
          <w:b/>
          <w:bCs/>
          <w:color w:val="000000" w:themeColor="text1"/>
          <w:sz w:val="20"/>
          <w:szCs w:val="20"/>
        </w:rPr>
        <w:t xml:space="preserve">Observation </w:t>
      </w:r>
      <w:r w:rsidRPr="00CC7A9E">
        <w:rPr>
          <w:b/>
          <w:bCs/>
          <w:color w:val="000000" w:themeColor="text1"/>
          <w:sz w:val="20"/>
          <w:szCs w:val="20"/>
        </w:rPr>
        <w:fldChar w:fldCharType="begin"/>
      </w:r>
      <w:r w:rsidRPr="00CC7A9E">
        <w:rPr>
          <w:b/>
          <w:bCs/>
          <w:color w:val="000000" w:themeColor="text1"/>
          <w:sz w:val="20"/>
          <w:szCs w:val="20"/>
        </w:rPr>
        <w:instrText xml:space="preserve"> SEQ Observation \* ARABIC </w:instrText>
      </w:r>
      <w:r w:rsidRPr="00CC7A9E">
        <w:rPr>
          <w:b/>
          <w:bCs/>
          <w:color w:val="000000" w:themeColor="text1"/>
          <w:sz w:val="20"/>
          <w:szCs w:val="20"/>
        </w:rPr>
        <w:fldChar w:fldCharType="separate"/>
      </w:r>
      <w:r>
        <w:rPr>
          <w:b/>
          <w:bCs/>
          <w:noProof/>
          <w:color w:val="000000" w:themeColor="text1"/>
          <w:sz w:val="20"/>
          <w:szCs w:val="20"/>
        </w:rPr>
        <w:t>1</w:t>
      </w:r>
      <w:r w:rsidRPr="00CC7A9E">
        <w:rPr>
          <w:b/>
          <w:bCs/>
          <w:color w:val="000000" w:themeColor="text1"/>
          <w:sz w:val="20"/>
          <w:szCs w:val="20"/>
        </w:rPr>
        <w:fldChar w:fldCharType="end"/>
      </w:r>
      <w:r w:rsidRPr="00CC7A9E">
        <w:rPr>
          <w:b/>
          <w:bCs/>
          <w:color w:val="000000" w:themeColor="text1"/>
          <w:sz w:val="20"/>
          <w:szCs w:val="20"/>
        </w:rPr>
        <w:t xml:space="preserve">: UE which only supports sync DAPS HO shall existing DAPS HO requirements as long as the condition </w:t>
      </w:r>
      <w:r>
        <w:rPr>
          <w:b/>
          <w:bCs/>
          <w:color w:val="000000" w:themeColor="text1"/>
          <w:sz w:val="20"/>
          <w:szCs w:val="20"/>
        </w:rPr>
        <w:t>for</w:t>
      </w:r>
      <w:r w:rsidRPr="00CC7A9E">
        <w:rPr>
          <w:b/>
          <w:bCs/>
          <w:color w:val="000000" w:themeColor="text1"/>
          <w:sz w:val="20"/>
          <w:szCs w:val="20"/>
        </w:rPr>
        <w:t xml:space="preserve"> sync</w:t>
      </w:r>
      <w:r>
        <w:rPr>
          <w:b/>
          <w:bCs/>
          <w:color w:val="000000" w:themeColor="text1"/>
          <w:sz w:val="20"/>
          <w:szCs w:val="20"/>
        </w:rPr>
        <w:t xml:space="preserve"> scenario</w:t>
      </w:r>
      <w:r w:rsidRPr="00CC7A9E">
        <w:rPr>
          <w:b/>
          <w:bCs/>
          <w:color w:val="000000" w:themeColor="text1"/>
          <w:sz w:val="20"/>
          <w:szCs w:val="20"/>
        </w:rPr>
        <w:t xml:space="preserve"> is met.</w:t>
      </w:r>
    </w:p>
    <w:p w14:paraId="08E3A1D8" w14:textId="77777777" w:rsidR="00FC6BCE" w:rsidRPr="00E33C64" w:rsidRDefault="00FC6BCE" w:rsidP="00FC6BCE">
      <w:pPr>
        <w:pStyle w:val="Caption"/>
        <w:rPr>
          <w:b/>
          <w:bCs/>
          <w:color w:val="000000" w:themeColor="text1"/>
          <w:sz w:val="20"/>
          <w:szCs w:val="20"/>
          <w:lang w:val="en-US"/>
        </w:rPr>
      </w:pPr>
      <w:r w:rsidRPr="00E33C64">
        <w:rPr>
          <w:b/>
          <w:bCs/>
          <w:color w:val="000000" w:themeColor="text1"/>
          <w:sz w:val="20"/>
          <w:szCs w:val="20"/>
        </w:rPr>
        <w:t xml:space="preserve">Observation </w:t>
      </w:r>
      <w:r w:rsidRPr="00E33C64">
        <w:rPr>
          <w:b/>
          <w:bCs/>
          <w:color w:val="000000" w:themeColor="text1"/>
          <w:sz w:val="20"/>
          <w:szCs w:val="20"/>
        </w:rPr>
        <w:fldChar w:fldCharType="begin"/>
      </w:r>
      <w:r w:rsidRPr="00E33C64">
        <w:rPr>
          <w:b/>
          <w:bCs/>
          <w:color w:val="000000" w:themeColor="text1"/>
          <w:sz w:val="20"/>
          <w:szCs w:val="20"/>
        </w:rPr>
        <w:instrText xml:space="preserve"> SEQ Observation \* ARABIC </w:instrText>
      </w:r>
      <w:r w:rsidRPr="00E33C64">
        <w:rPr>
          <w:b/>
          <w:bCs/>
          <w:color w:val="000000" w:themeColor="text1"/>
          <w:sz w:val="20"/>
          <w:szCs w:val="20"/>
        </w:rPr>
        <w:fldChar w:fldCharType="separate"/>
      </w:r>
      <w:r w:rsidRPr="00E33C64">
        <w:rPr>
          <w:b/>
          <w:bCs/>
          <w:noProof/>
          <w:color w:val="000000" w:themeColor="text1"/>
          <w:sz w:val="20"/>
          <w:szCs w:val="20"/>
        </w:rPr>
        <w:t>2</w:t>
      </w:r>
      <w:r w:rsidRPr="00E33C64">
        <w:rPr>
          <w:b/>
          <w:bCs/>
          <w:color w:val="000000" w:themeColor="text1"/>
          <w:sz w:val="20"/>
          <w:szCs w:val="20"/>
        </w:rPr>
        <w:fldChar w:fldCharType="end"/>
      </w:r>
      <w:r w:rsidRPr="00E33C64">
        <w:rPr>
          <w:b/>
          <w:bCs/>
          <w:color w:val="000000" w:themeColor="text1"/>
          <w:sz w:val="20"/>
          <w:szCs w:val="20"/>
        </w:rPr>
        <w:t xml:space="preserve">: option 2 (30+us MRTD/MTTD) aims to increase the usefulness of DAPS HO. However, the consequence may go in opposite direction, since </w:t>
      </w:r>
      <w:r w:rsidRPr="00E33C64">
        <w:rPr>
          <w:b/>
          <w:bCs/>
          <w:color w:val="000000" w:themeColor="text1"/>
          <w:sz w:val="20"/>
          <w:szCs w:val="20"/>
          <w:lang w:val="en-US"/>
        </w:rPr>
        <w:t>UE with single FFT may have to claim NOT support this feature.</w:t>
      </w:r>
    </w:p>
    <w:p w14:paraId="513CBC24" w14:textId="46D6FFD4" w:rsidR="00FC6BCE" w:rsidRPr="00F47A93" w:rsidRDefault="00FC6BCE" w:rsidP="00FC6BCE">
      <w:pPr>
        <w:pStyle w:val="Caption"/>
        <w:rPr>
          <w:b/>
          <w:bCs/>
          <w:color w:val="000000" w:themeColor="text1"/>
          <w:sz w:val="20"/>
          <w:szCs w:val="20"/>
        </w:rPr>
      </w:pPr>
      <w:r w:rsidRPr="00F47A93">
        <w:rPr>
          <w:b/>
          <w:bCs/>
          <w:color w:val="000000" w:themeColor="text1"/>
          <w:sz w:val="20"/>
          <w:szCs w:val="20"/>
        </w:rPr>
        <w:t xml:space="preserve">Proposal </w:t>
      </w:r>
      <w:r w:rsidR="00B91BF9">
        <w:rPr>
          <w:b/>
          <w:bCs/>
          <w:color w:val="000000" w:themeColor="text1"/>
          <w:sz w:val="20"/>
          <w:szCs w:val="20"/>
        </w:rPr>
        <w:t>3</w:t>
      </w:r>
      <w:r w:rsidRPr="00F47A93">
        <w:rPr>
          <w:b/>
          <w:bCs/>
          <w:color w:val="000000" w:themeColor="text1"/>
          <w:sz w:val="20"/>
          <w:szCs w:val="20"/>
        </w:rPr>
        <w:t xml:space="preserve">: option 1 for </w:t>
      </w:r>
      <w:r>
        <w:rPr>
          <w:b/>
          <w:bCs/>
          <w:color w:val="000000" w:themeColor="text1"/>
          <w:sz w:val="20"/>
          <w:szCs w:val="20"/>
        </w:rPr>
        <w:t>s</w:t>
      </w:r>
      <w:r w:rsidRPr="00F47A93">
        <w:rPr>
          <w:b/>
          <w:bCs/>
          <w:color w:val="000000" w:themeColor="text1"/>
          <w:sz w:val="20"/>
          <w:szCs w:val="20"/>
        </w:rPr>
        <w:t>ide condition for intra-frequency sync DAPS HO:</w:t>
      </w:r>
    </w:p>
    <w:p w14:paraId="220A80E1" w14:textId="77777777" w:rsidR="00FC6BCE" w:rsidRPr="00F47A93" w:rsidRDefault="00FC6BCE" w:rsidP="00FC6BCE">
      <w:pPr>
        <w:pStyle w:val="Caption"/>
        <w:ind w:left="284"/>
        <w:rPr>
          <w:b/>
          <w:bCs/>
          <w:color w:val="000000" w:themeColor="text1"/>
          <w:sz w:val="20"/>
          <w:szCs w:val="20"/>
        </w:rPr>
      </w:pPr>
      <w:r w:rsidRPr="00F47A93">
        <w:rPr>
          <w:b/>
          <w:bCs/>
          <w:color w:val="000000" w:themeColor="text1"/>
          <w:sz w:val="20"/>
          <w:szCs w:val="20"/>
        </w:rPr>
        <w:t xml:space="preserve">UE which only support sync DAPS HO shall meet existing DAPS HO requirement as long as: 3 us MRTD and 5.21 us MTTD between source and target cells is not exceeded. </w:t>
      </w:r>
      <w:r w:rsidRPr="00F47A93">
        <w:rPr>
          <w:b/>
          <w:bCs/>
          <w:color w:val="000000" w:themeColor="text1"/>
          <w:sz w:val="20"/>
          <w:szCs w:val="20"/>
        </w:rPr>
        <w:br/>
        <w:t>Note: If the receive time difference exceeds the cyclic prefix length of that SCS, demodulation performance degradation is expected for the first symbol of the slot.</w:t>
      </w:r>
    </w:p>
    <w:p w14:paraId="07FEFC60" w14:textId="33332861" w:rsidR="00FC6BCE" w:rsidRPr="00F47A93" w:rsidRDefault="00FC6BCE" w:rsidP="00FC6BCE">
      <w:pPr>
        <w:pStyle w:val="Caption"/>
        <w:rPr>
          <w:b/>
          <w:bCs/>
          <w:color w:val="000000" w:themeColor="text1"/>
          <w:sz w:val="20"/>
          <w:szCs w:val="20"/>
        </w:rPr>
      </w:pPr>
      <w:r w:rsidRPr="00F47A93">
        <w:rPr>
          <w:b/>
          <w:bCs/>
          <w:color w:val="000000" w:themeColor="text1"/>
          <w:sz w:val="20"/>
          <w:szCs w:val="20"/>
        </w:rPr>
        <w:t xml:space="preserve">Proposal </w:t>
      </w:r>
      <w:r w:rsidR="00B91BF9">
        <w:rPr>
          <w:b/>
          <w:bCs/>
          <w:color w:val="000000" w:themeColor="text1"/>
          <w:sz w:val="20"/>
          <w:szCs w:val="20"/>
        </w:rPr>
        <w:t>4</w:t>
      </w:r>
      <w:bookmarkStart w:id="1" w:name="_GoBack"/>
      <w:bookmarkEnd w:id="1"/>
      <w:r w:rsidRPr="00F47A93">
        <w:rPr>
          <w:b/>
          <w:bCs/>
          <w:color w:val="000000" w:themeColor="text1"/>
          <w:sz w:val="20"/>
          <w:szCs w:val="20"/>
        </w:rPr>
        <w:t>: option 1 for side condition for intra-band inter-frequency sync DAPS HO:</w:t>
      </w:r>
    </w:p>
    <w:p w14:paraId="06A88F06" w14:textId="7F87FF92" w:rsidR="00FC6BCE" w:rsidRPr="00F47A93" w:rsidRDefault="00FC6BCE" w:rsidP="00FC6BCE">
      <w:pPr>
        <w:pStyle w:val="Caption"/>
        <w:ind w:left="284"/>
        <w:rPr>
          <w:b/>
          <w:bCs/>
          <w:color w:val="000000" w:themeColor="text1"/>
          <w:sz w:val="20"/>
          <w:szCs w:val="20"/>
        </w:rPr>
      </w:pPr>
      <w:r w:rsidRPr="00F47A93">
        <w:rPr>
          <w:b/>
          <w:bCs/>
          <w:color w:val="000000" w:themeColor="text1"/>
          <w:sz w:val="20"/>
          <w:szCs w:val="20"/>
        </w:rPr>
        <w:t>UE which only support sync DAPS HO shall meet existing DAPS HO requirement as long as:</w:t>
      </w:r>
      <w:r w:rsidR="00470280">
        <w:rPr>
          <w:b/>
          <w:bCs/>
          <w:color w:val="000000" w:themeColor="text1"/>
          <w:sz w:val="20"/>
          <w:szCs w:val="20"/>
        </w:rPr>
        <w:t xml:space="preserve"> </w:t>
      </w:r>
      <w:r w:rsidRPr="00F47A93">
        <w:rPr>
          <w:b/>
          <w:bCs/>
          <w:color w:val="000000" w:themeColor="text1"/>
          <w:sz w:val="20"/>
          <w:szCs w:val="20"/>
        </w:rPr>
        <w:t>3 us MRTD and 5.21 us MTTD between source and target cells is not exceeded</w:t>
      </w:r>
      <w:r w:rsidR="00470280">
        <w:rPr>
          <w:b/>
          <w:bCs/>
          <w:color w:val="000000" w:themeColor="text1"/>
          <w:sz w:val="20"/>
          <w:szCs w:val="20"/>
        </w:rPr>
        <w:t>.</w:t>
      </w:r>
      <w:r w:rsidRPr="00F47A93">
        <w:rPr>
          <w:b/>
          <w:bCs/>
          <w:color w:val="000000" w:themeColor="text1"/>
          <w:sz w:val="20"/>
          <w:szCs w:val="20"/>
        </w:rPr>
        <w:br/>
        <w:t>Note: If the receive time difference exceeds the cyclic prefix length of that SCS, demodulation performance degradation is expected for the first symbol of the slot.</w:t>
      </w:r>
    </w:p>
    <w:p w14:paraId="6C8FC41E" w14:textId="77777777" w:rsidR="00B91BF9" w:rsidRPr="00B91BF9" w:rsidRDefault="00B91BF9" w:rsidP="00B91BF9">
      <w:pPr>
        <w:pStyle w:val="Caption"/>
        <w:rPr>
          <w:b/>
          <w:bCs/>
          <w:color w:val="000000" w:themeColor="text1"/>
          <w:sz w:val="20"/>
          <w:szCs w:val="20"/>
        </w:rPr>
      </w:pPr>
      <w:r w:rsidRPr="00B91BF9">
        <w:rPr>
          <w:b/>
          <w:bCs/>
          <w:color w:val="000000" w:themeColor="text1"/>
          <w:sz w:val="20"/>
          <w:szCs w:val="20"/>
        </w:rPr>
        <w:lastRenderedPageBreak/>
        <w:t xml:space="preserve">Proposal </w:t>
      </w:r>
      <w:r w:rsidRPr="00B91BF9">
        <w:rPr>
          <w:b/>
          <w:bCs/>
          <w:color w:val="000000" w:themeColor="text1"/>
          <w:sz w:val="20"/>
          <w:szCs w:val="20"/>
        </w:rPr>
        <w:fldChar w:fldCharType="begin"/>
      </w:r>
      <w:r w:rsidRPr="00B91BF9">
        <w:rPr>
          <w:b/>
          <w:bCs/>
          <w:color w:val="000000" w:themeColor="text1"/>
          <w:sz w:val="20"/>
          <w:szCs w:val="20"/>
        </w:rPr>
        <w:instrText xml:space="preserve"> SEQ Proposal \* ARABIC </w:instrText>
      </w:r>
      <w:r w:rsidRPr="00B91BF9">
        <w:rPr>
          <w:b/>
          <w:bCs/>
          <w:color w:val="000000" w:themeColor="text1"/>
          <w:sz w:val="20"/>
          <w:szCs w:val="20"/>
        </w:rPr>
        <w:fldChar w:fldCharType="separate"/>
      </w:r>
      <w:r w:rsidRPr="00B91BF9">
        <w:rPr>
          <w:b/>
          <w:bCs/>
          <w:noProof/>
          <w:color w:val="000000" w:themeColor="text1"/>
          <w:sz w:val="20"/>
          <w:szCs w:val="20"/>
        </w:rPr>
        <w:t>5</w:t>
      </w:r>
      <w:r w:rsidRPr="00B91BF9">
        <w:rPr>
          <w:b/>
          <w:bCs/>
          <w:color w:val="000000" w:themeColor="text1"/>
          <w:sz w:val="20"/>
          <w:szCs w:val="20"/>
        </w:rPr>
        <w:fldChar w:fldCharType="end"/>
      </w:r>
      <w:r w:rsidRPr="00B91BF9">
        <w:rPr>
          <w:b/>
          <w:bCs/>
          <w:color w:val="000000" w:themeColor="text1"/>
          <w:sz w:val="20"/>
          <w:szCs w:val="20"/>
        </w:rPr>
        <w:t>: RAN1 assumption is rational to RAN4. However, RAN4 will not define corresponding requirement.</w:t>
      </w:r>
    </w:p>
    <w:p w14:paraId="4D9D5FC6" w14:textId="77777777" w:rsidR="00FC6BCE" w:rsidRDefault="00FC6BCE" w:rsidP="00FC649F">
      <w:pPr>
        <w:rPr>
          <w:lang w:eastAsia="zh-CN"/>
        </w:rPr>
      </w:pPr>
    </w:p>
    <w:p w14:paraId="4C0D287F" w14:textId="1AF1330D" w:rsidR="003B7888" w:rsidRDefault="003B7888" w:rsidP="003B7888">
      <w:pPr>
        <w:pStyle w:val="Heading1"/>
      </w:pPr>
      <w:r>
        <w:t>4</w:t>
      </w:r>
      <w:r>
        <w:tab/>
        <w:t>References</w:t>
      </w:r>
    </w:p>
    <w:p w14:paraId="550A5005" w14:textId="5BF848C0" w:rsidR="0053656F" w:rsidRDefault="00ED3D2B" w:rsidP="00FF01B5">
      <w:pPr>
        <w:pStyle w:val="ListParagraph"/>
        <w:numPr>
          <w:ilvl w:val="0"/>
          <w:numId w:val="1"/>
        </w:numPr>
      </w:pPr>
      <w:r w:rsidRPr="00ED3D2B">
        <w:rPr>
          <w:lang w:eastAsia="zh-CN"/>
        </w:rPr>
        <w:t>R4-2005392</w:t>
      </w:r>
      <w:r w:rsidR="0053656F">
        <w:rPr>
          <w:lang w:eastAsia="zh-CN"/>
        </w:rPr>
        <w:t xml:space="preserve">, </w:t>
      </w:r>
      <w:r w:rsidRPr="00ED3D2B">
        <w:rPr>
          <w:lang w:eastAsia="zh-CN"/>
        </w:rPr>
        <w:t>Email discussion summary for [94e Bis][108] NR_Mob_enh_RRM</w:t>
      </w:r>
      <w:r>
        <w:rPr>
          <w:lang w:eastAsia="zh-CN"/>
        </w:rPr>
        <w:t>, Intel</w:t>
      </w:r>
      <w:r w:rsidR="0053656F" w:rsidRPr="0053656F">
        <w:rPr>
          <w:lang w:eastAsia="zh-CN"/>
        </w:rPr>
        <w:t xml:space="preserve"> </w:t>
      </w:r>
    </w:p>
    <w:p w14:paraId="7DA533E4" w14:textId="030BAE7B" w:rsidR="00F42785" w:rsidRDefault="00ED3D2B" w:rsidP="00FF01B5">
      <w:pPr>
        <w:pStyle w:val="ListParagraph"/>
        <w:numPr>
          <w:ilvl w:val="0"/>
          <w:numId w:val="1"/>
        </w:numPr>
      </w:pPr>
      <w:r w:rsidRPr="00ED3D2B">
        <w:t>R4-2005305</w:t>
      </w:r>
      <w:r w:rsidR="00F42785">
        <w:t xml:space="preserve">, </w:t>
      </w:r>
      <w:r w:rsidRPr="00ED3D2B">
        <w:t>WF on NR Mobility enhancement RRM requirements</w:t>
      </w:r>
      <w:r w:rsidR="00F42785">
        <w:t xml:space="preserve">, </w:t>
      </w:r>
      <w:r w:rsidR="001954C0">
        <w:t>Intel</w:t>
      </w:r>
    </w:p>
    <w:p w14:paraId="5E1FC602" w14:textId="52981C99" w:rsidR="004A5A7A" w:rsidRDefault="00E33C64" w:rsidP="00FF01B5">
      <w:pPr>
        <w:pStyle w:val="ListParagraph"/>
        <w:numPr>
          <w:ilvl w:val="0"/>
          <w:numId w:val="1"/>
        </w:numPr>
      </w:pPr>
      <w:r w:rsidRPr="00E33C64">
        <w:t>R1-2003058</w:t>
      </w:r>
      <w:r>
        <w:t xml:space="preserve">, </w:t>
      </w:r>
      <w:r w:rsidRPr="00E33C64">
        <w:t>LS on Simultaneous reception of DL signals in intra-frequency DAPS HO</w:t>
      </w:r>
      <w:r>
        <w:t>, Intel</w:t>
      </w:r>
    </w:p>
    <w:sectPr w:rsidR="004A5A7A"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263D8" w14:textId="77777777" w:rsidR="003F7CA0" w:rsidRDefault="003F7CA0" w:rsidP="002B3503">
      <w:pPr>
        <w:spacing w:after="0"/>
      </w:pPr>
      <w:r>
        <w:separator/>
      </w:r>
    </w:p>
  </w:endnote>
  <w:endnote w:type="continuationSeparator" w:id="0">
    <w:p w14:paraId="3E413BE4" w14:textId="77777777" w:rsidR="003F7CA0" w:rsidRDefault="003F7CA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C69F7" w14:textId="77777777" w:rsidR="003F7CA0" w:rsidRDefault="003F7CA0" w:rsidP="002B3503">
      <w:pPr>
        <w:spacing w:after="0"/>
      </w:pPr>
      <w:r>
        <w:separator/>
      </w:r>
    </w:p>
  </w:footnote>
  <w:footnote w:type="continuationSeparator" w:id="0">
    <w:p w14:paraId="1478910A" w14:textId="77777777" w:rsidR="003F7CA0" w:rsidRDefault="003F7CA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FC1978"/>
    <w:multiLevelType w:val="hybridMultilevel"/>
    <w:tmpl w:val="7A88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00812"/>
    <w:multiLevelType w:val="hybridMultilevel"/>
    <w:tmpl w:val="87403388"/>
    <w:lvl w:ilvl="0" w:tplc="7974C4E8">
      <w:start w:val="1"/>
      <w:numFmt w:val="bullet"/>
      <w:lvlText w:val="•"/>
      <w:lvlJc w:val="left"/>
      <w:pPr>
        <w:tabs>
          <w:tab w:val="num" w:pos="720"/>
        </w:tabs>
        <w:ind w:left="720" w:hanging="360"/>
      </w:pPr>
      <w:rPr>
        <w:rFonts w:ascii="Arial" w:hAnsi="Arial" w:hint="default"/>
      </w:rPr>
    </w:lvl>
    <w:lvl w:ilvl="1" w:tplc="7546985E">
      <w:start w:val="1"/>
      <w:numFmt w:val="bullet"/>
      <w:lvlText w:val="•"/>
      <w:lvlJc w:val="left"/>
      <w:pPr>
        <w:tabs>
          <w:tab w:val="num" w:pos="1440"/>
        </w:tabs>
        <w:ind w:left="1440" w:hanging="360"/>
      </w:pPr>
      <w:rPr>
        <w:rFonts w:ascii="Arial" w:hAnsi="Arial" w:hint="default"/>
      </w:rPr>
    </w:lvl>
    <w:lvl w:ilvl="2" w:tplc="E8C6A556" w:tentative="1">
      <w:start w:val="1"/>
      <w:numFmt w:val="bullet"/>
      <w:lvlText w:val="•"/>
      <w:lvlJc w:val="left"/>
      <w:pPr>
        <w:tabs>
          <w:tab w:val="num" w:pos="2160"/>
        </w:tabs>
        <w:ind w:left="2160" w:hanging="360"/>
      </w:pPr>
      <w:rPr>
        <w:rFonts w:ascii="Arial" w:hAnsi="Arial" w:hint="default"/>
      </w:rPr>
    </w:lvl>
    <w:lvl w:ilvl="3" w:tplc="4A32ACB6" w:tentative="1">
      <w:start w:val="1"/>
      <w:numFmt w:val="bullet"/>
      <w:lvlText w:val="•"/>
      <w:lvlJc w:val="left"/>
      <w:pPr>
        <w:tabs>
          <w:tab w:val="num" w:pos="2880"/>
        </w:tabs>
        <w:ind w:left="2880" w:hanging="360"/>
      </w:pPr>
      <w:rPr>
        <w:rFonts w:ascii="Arial" w:hAnsi="Arial" w:hint="default"/>
      </w:rPr>
    </w:lvl>
    <w:lvl w:ilvl="4" w:tplc="6EFC2B9C" w:tentative="1">
      <w:start w:val="1"/>
      <w:numFmt w:val="bullet"/>
      <w:lvlText w:val="•"/>
      <w:lvlJc w:val="left"/>
      <w:pPr>
        <w:tabs>
          <w:tab w:val="num" w:pos="3600"/>
        </w:tabs>
        <w:ind w:left="3600" w:hanging="360"/>
      </w:pPr>
      <w:rPr>
        <w:rFonts w:ascii="Arial" w:hAnsi="Arial" w:hint="default"/>
      </w:rPr>
    </w:lvl>
    <w:lvl w:ilvl="5" w:tplc="57002F2E" w:tentative="1">
      <w:start w:val="1"/>
      <w:numFmt w:val="bullet"/>
      <w:lvlText w:val="•"/>
      <w:lvlJc w:val="left"/>
      <w:pPr>
        <w:tabs>
          <w:tab w:val="num" w:pos="4320"/>
        </w:tabs>
        <w:ind w:left="4320" w:hanging="360"/>
      </w:pPr>
      <w:rPr>
        <w:rFonts w:ascii="Arial" w:hAnsi="Arial" w:hint="default"/>
      </w:rPr>
    </w:lvl>
    <w:lvl w:ilvl="6" w:tplc="47C6E420" w:tentative="1">
      <w:start w:val="1"/>
      <w:numFmt w:val="bullet"/>
      <w:lvlText w:val="•"/>
      <w:lvlJc w:val="left"/>
      <w:pPr>
        <w:tabs>
          <w:tab w:val="num" w:pos="5040"/>
        </w:tabs>
        <w:ind w:left="5040" w:hanging="360"/>
      </w:pPr>
      <w:rPr>
        <w:rFonts w:ascii="Arial" w:hAnsi="Arial" w:hint="default"/>
      </w:rPr>
    </w:lvl>
    <w:lvl w:ilvl="7" w:tplc="2D42B06E" w:tentative="1">
      <w:start w:val="1"/>
      <w:numFmt w:val="bullet"/>
      <w:lvlText w:val="•"/>
      <w:lvlJc w:val="left"/>
      <w:pPr>
        <w:tabs>
          <w:tab w:val="num" w:pos="5760"/>
        </w:tabs>
        <w:ind w:left="5760" w:hanging="360"/>
      </w:pPr>
      <w:rPr>
        <w:rFonts w:ascii="Arial" w:hAnsi="Arial" w:hint="default"/>
      </w:rPr>
    </w:lvl>
    <w:lvl w:ilvl="8" w:tplc="FCB0AE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B46A4D"/>
    <w:multiLevelType w:val="hybridMultilevel"/>
    <w:tmpl w:val="AE00C604"/>
    <w:lvl w:ilvl="0" w:tplc="0D641872">
      <w:start w:val="1"/>
      <w:numFmt w:val="bullet"/>
      <w:lvlText w:val="•"/>
      <w:lvlJc w:val="left"/>
      <w:pPr>
        <w:tabs>
          <w:tab w:val="num" w:pos="720"/>
        </w:tabs>
        <w:ind w:left="720" w:hanging="360"/>
      </w:pPr>
      <w:rPr>
        <w:rFonts w:ascii="Arial" w:hAnsi="Arial" w:hint="default"/>
      </w:rPr>
    </w:lvl>
    <w:lvl w:ilvl="1" w:tplc="2C1A3F0A" w:tentative="1">
      <w:start w:val="1"/>
      <w:numFmt w:val="bullet"/>
      <w:lvlText w:val="•"/>
      <w:lvlJc w:val="left"/>
      <w:pPr>
        <w:tabs>
          <w:tab w:val="num" w:pos="1440"/>
        </w:tabs>
        <w:ind w:left="1440" w:hanging="360"/>
      </w:pPr>
      <w:rPr>
        <w:rFonts w:ascii="Arial" w:hAnsi="Arial" w:hint="default"/>
      </w:rPr>
    </w:lvl>
    <w:lvl w:ilvl="2" w:tplc="D664427A" w:tentative="1">
      <w:start w:val="1"/>
      <w:numFmt w:val="bullet"/>
      <w:lvlText w:val="•"/>
      <w:lvlJc w:val="left"/>
      <w:pPr>
        <w:tabs>
          <w:tab w:val="num" w:pos="2160"/>
        </w:tabs>
        <w:ind w:left="2160" w:hanging="360"/>
      </w:pPr>
      <w:rPr>
        <w:rFonts w:ascii="Arial" w:hAnsi="Arial" w:hint="default"/>
      </w:rPr>
    </w:lvl>
    <w:lvl w:ilvl="3" w:tplc="A5760B74" w:tentative="1">
      <w:start w:val="1"/>
      <w:numFmt w:val="bullet"/>
      <w:lvlText w:val="•"/>
      <w:lvlJc w:val="left"/>
      <w:pPr>
        <w:tabs>
          <w:tab w:val="num" w:pos="2880"/>
        </w:tabs>
        <w:ind w:left="2880" w:hanging="360"/>
      </w:pPr>
      <w:rPr>
        <w:rFonts w:ascii="Arial" w:hAnsi="Arial" w:hint="default"/>
      </w:rPr>
    </w:lvl>
    <w:lvl w:ilvl="4" w:tplc="9AD2EC98" w:tentative="1">
      <w:start w:val="1"/>
      <w:numFmt w:val="bullet"/>
      <w:lvlText w:val="•"/>
      <w:lvlJc w:val="left"/>
      <w:pPr>
        <w:tabs>
          <w:tab w:val="num" w:pos="3600"/>
        </w:tabs>
        <w:ind w:left="3600" w:hanging="360"/>
      </w:pPr>
      <w:rPr>
        <w:rFonts w:ascii="Arial" w:hAnsi="Arial" w:hint="default"/>
      </w:rPr>
    </w:lvl>
    <w:lvl w:ilvl="5" w:tplc="10FCFC14" w:tentative="1">
      <w:start w:val="1"/>
      <w:numFmt w:val="bullet"/>
      <w:lvlText w:val="•"/>
      <w:lvlJc w:val="left"/>
      <w:pPr>
        <w:tabs>
          <w:tab w:val="num" w:pos="4320"/>
        </w:tabs>
        <w:ind w:left="4320" w:hanging="360"/>
      </w:pPr>
      <w:rPr>
        <w:rFonts w:ascii="Arial" w:hAnsi="Arial" w:hint="default"/>
      </w:rPr>
    </w:lvl>
    <w:lvl w:ilvl="6" w:tplc="3AFAEB36" w:tentative="1">
      <w:start w:val="1"/>
      <w:numFmt w:val="bullet"/>
      <w:lvlText w:val="•"/>
      <w:lvlJc w:val="left"/>
      <w:pPr>
        <w:tabs>
          <w:tab w:val="num" w:pos="5040"/>
        </w:tabs>
        <w:ind w:left="5040" w:hanging="360"/>
      </w:pPr>
      <w:rPr>
        <w:rFonts w:ascii="Arial" w:hAnsi="Arial" w:hint="default"/>
      </w:rPr>
    </w:lvl>
    <w:lvl w:ilvl="7" w:tplc="180ABCD6" w:tentative="1">
      <w:start w:val="1"/>
      <w:numFmt w:val="bullet"/>
      <w:lvlText w:val="•"/>
      <w:lvlJc w:val="left"/>
      <w:pPr>
        <w:tabs>
          <w:tab w:val="num" w:pos="5760"/>
        </w:tabs>
        <w:ind w:left="5760" w:hanging="360"/>
      </w:pPr>
      <w:rPr>
        <w:rFonts w:ascii="Arial" w:hAnsi="Arial" w:hint="default"/>
      </w:rPr>
    </w:lvl>
    <w:lvl w:ilvl="8" w:tplc="DD9659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867E10"/>
    <w:multiLevelType w:val="hybridMultilevel"/>
    <w:tmpl w:val="D9B8091C"/>
    <w:lvl w:ilvl="0" w:tplc="C5DE851E">
      <w:start w:val="1"/>
      <w:numFmt w:val="bullet"/>
      <w:lvlText w:val="•"/>
      <w:lvlJc w:val="left"/>
      <w:pPr>
        <w:tabs>
          <w:tab w:val="num" w:pos="720"/>
        </w:tabs>
        <w:ind w:left="720" w:hanging="360"/>
      </w:pPr>
      <w:rPr>
        <w:rFonts w:ascii="Arial" w:hAnsi="Arial" w:hint="default"/>
      </w:rPr>
    </w:lvl>
    <w:lvl w:ilvl="1" w:tplc="4ED48B98">
      <w:start w:val="60"/>
      <w:numFmt w:val="bullet"/>
      <w:lvlText w:val="o"/>
      <w:lvlJc w:val="left"/>
      <w:pPr>
        <w:tabs>
          <w:tab w:val="num" w:pos="1440"/>
        </w:tabs>
        <w:ind w:left="1440" w:hanging="360"/>
      </w:pPr>
      <w:rPr>
        <w:rFonts w:ascii="Courier New" w:hAnsi="Courier New" w:hint="default"/>
      </w:rPr>
    </w:lvl>
    <w:lvl w:ilvl="2" w:tplc="BB262396">
      <w:numFmt w:val="bullet"/>
      <w:lvlText w:val="-"/>
      <w:lvlJc w:val="left"/>
      <w:pPr>
        <w:tabs>
          <w:tab w:val="num" w:pos="2160"/>
        </w:tabs>
        <w:ind w:left="2160" w:hanging="360"/>
      </w:pPr>
      <w:rPr>
        <w:rFonts w:ascii="Times New Roman" w:hAnsi="Times New Roman" w:hint="default"/>
      </w:rPr>
    </w:lvl>
    <w:lvl w:ilvl="3" w:tplc="88DA8A2A" w:tentative="1">
      <w:start w:val="1"/>
      <w:numFmt w:val="bullet"/>
      <w:lvlText w:val="•"/>
      <w:lvlJc w:val="left"/>
      <w:pPr>
        <w:tabs>
          <w:tab w:val="num" w:pos="2880"/>
        </w:tabs>
        <w:ind w:left="2880" w:hanging="360"/>
      </w:pPr>
      <w:rPr>
        <w:rFonts w:ascii="Arial" w:hAnsi="Arial" w:hint="default"/>
      </w:rPr>
    </w:lvl>
    <w:lvl w:ilvl="4" w:tplc="0A468DCE" w:tentative="1">
      <w:start w:val="1"/>
      <w:numFmt w:val="bullet"/>
      <w:lvlText w:val="•"/>
      <w:lvlJc w:val="left"/>
      <w:pPr>
        <w:tabs>
          <w:tab w:val="num" w:pos="3600"/>
        </w:tabs>
        <w:ind w:left="3600" w:hanging="360"/>
      </w:pPr>
      <w:rPr>
        <w:rFonts w:ascii="Arial" w:hAnsi="Arial" w:hint="default"/>
      </w:rPr>
    </w:lvl>
    <w:lvl w:ilvl="5" w:tplc="B27A7F40" w:tentative="1">
      <w:start w:val="1"/>
      <w:numFmt w:val="bullet"/>
      <w:lvlText w:val="•"/>
      <w:lvlJc w:val="left"/>
      <w:pPr>
        <w:tabs>
          <w:tab w:val="num" w:pos="4320"/>
        </w:tabs>
        <w:ind w:left="4320" w:hanging="360"/>
      </w:pPr>
      <w:rPr>
        <w:rFonts w:ascii="Arial" w:hAnsi="Arial" w:hint="default"/>
      </w:rPr>
    </w:lvl>
    <w:lvl w:ilvl="6" w:tplc="42E254BA" w:tentative="1">
      <w:start w:val="1"/>
      <w:numFmt w:val="bullet"/>
      <w:lvlText w:val="•"/>
      <w:lvlJc w:val="left"/>
      <w:pPr>
        <w:tabs>
          <w:tab w:val="num" w:pos="5040"/>
        </w:tabs>
        <w:ind w:left="5040" w:hanging="360"/>
      </w:pPr>
      <w:rPr>
        <w:rFonts w:ascii="Arial" w:hAnsi="Arial" w:hint="default"/>
      </w:rPr>
    </w:lvl>
    <w:lvl w:ilvl="7" w:tplc="C89A6E82" w:tentative="1">
      <w:start w:val="1"/>
      <w:numFmt w:val="bullet"/>
      <w:lvlText w:val="•"/>
      <w:lvlJc w:val="left"/>
      <w:pPr>
        <w:tabs>
          <w:tab w:val="num" w:pos="5760"/>
        </w:tabs>
        <w:ind w:left="5760" w:hanging="360"/>
      </w:pPr>
      <w:rPr>
        <w:rFonts w:ascii="Arial" w:hAnsi="Arial" w:hint="default"/>
      </w:rPr>
    </w:lvl>
    <w:lvl w:ilvl="8" w:tplc="CE621D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31461D"/>
    <w:multiLevelType w:val="hybridMultilevel"/>
    <w:tmpl w:val="12C429DC"/>
    <w:lvl w:ilvl="0" w:tplc="5AC2384A">
      <w:start w:val="1"/>
      <w:numFmt w:val="bullet"/>
      <w:lvlText w:val="•"/>
      <w:lvlJc w:val="left"/>
      <w:pPr>
        <w:tabs>
          <w:tab w:val="num" w:pos="720"/>
        </w:tabs>
        <w:ind w:left="720" w:hanging="360"/>
      </w:pPr>
      <w:rPr>
        <w:rFonts w:ascii="Arial" w:hAnsi="Arial" w:hint="default"/>
      </w:rPr>
    </w:lvl>
    <w:lvl w:ilvl="1" w:tplc="E8EA1AF0">
      <w:start w:val="1"/>
      <w:numFmt w:val="bullet"/>
      <w:lvlText w:val="•"/>
      <w:lvlJc w:val="left"/>
      <w:pPr>
        <w:tabs>
          <w:tab w:val="num" w:pos="1440"/>
        </w:tabs>
        <w:ind w:left="1440" w:hanging="360"/>
      </w:pPr>
      <w:rPr>
        <w:rFonts w:ascii="Arial" w:hAnsi="Arial" w:hint="default"/>
      </w:rPr>
    </w:lvl>
    <w:lvl w:ilvl="2" w:tplc="C0E476B8" w:tentative="1">
      <w:start w:val="1"/>
      <w:numFmt w:val="bullet"/>
      <w:lvlText w:val="•"/>
      <w:lvlJc w:val="left"/>
      <w:pPr>
        <w:tabs>
          <w:tab w:val="num" w:pos="2160"/>
        </w:tabs>
        <w:ind w:left="2160" w:hanging="360"/>
      </w:pPr>
      <w:rPr>
        <w:rFonts w:ascii="Arial" w:hAnsi="Arial" w:hint="default"/>
      </w:rPr>
    </w:lvl>
    <w:lvl w:ilvl="3" w:tplc="01402E54" w:tentative="1">
      <w:start w:val="1"/>
      <w:numFmt w:val="bullet"/>
      <w:lvlText w:val="•"/>
      <w:lvlJc w:val="left"/>
      <w:pPr>
        <w:tabs>
          <w:tab w:val="num" w:pos="2880"/>
        </w:tabs>
        <w:ind w:left="2880" w:hanging="360"/>
      </w:pPr>
      <w:rPr>
        <w:rFonts w:ascii="Arial" w:hAnsi="Arial" w:hint="default"/>
      </w:rPr>
    </w:lvl>
    <w:lvl w:ilvl="4" w:tplc="A878B4CC" w:tentative="1">
      <w:start w:val="1"/>
      <w:numFmt w:val="bullet"/>
      <w:lvlText w:val="•"/>
      <w:lvlJc w:val="left"/>
      <w:pPr>
        <w:tabs>
          <w:tab w:val="num" w:pos="3600"/>
        </w:tabs>
        <w:ind w:left="3600" w:hanging="360"/>
      </w:pPr>
      <w:rPr>
        <w:rFonts w:ascii="Arial" w:hAnsi="Arial" w:hint="default"/>
      </w:rPr>
    </w:lvl>
    <w:lvl w:ilvl="5" w:tplc="746A8302" w:tentative="1">
      <w:start w:val="1"/>
      <w:numFmt w:val="bullet"/>
      <w:lvlText w:val="•"/>
      <w:lvlJc w:val="left"/>
      <w:pPr>
        <w:tabs>
          <w:tab w:val="num" w:pos="4320"/>
        </w:tabs>
        <w:ind w:left="4320" w:hanging="360"/>
      </w:pPr>
      <w:rPr>
        <w:rFonts w:ascii="Arial" w:hAnsi="Arial" w:hint="default"/>
      </w:rPr>
    </w:lvl>
    <w:lvl w:ilvl="6" w:tplc="7A2413BA" w:tentative="1">
      <w:start w:val="1"/>
      <w:numFmt w:val="bullet"/>
      <w:lvlText w:val="•"/>
      <w:lvlJc w:val="left"/>
      <w:pPr>
        <w:tabs>
          <w:tab w:val="num" w:pos="5040"/>
        </w:tabs>
        <w:ind w:left="5040" w:hanging="360"/>
      </w:pPr>
      <w:rPr>
        <w:rFonts w:ascii="Arial" w:hAnsi="Arial" w:hint="default"/>
      </w:rPr>
    </w:lvl>
    <w:lvl w:ilvl="7" w:tplc="13B8EC0C" w:tentative="1">
      <w:start w:val="1"/>
      <w:numFmt w:val="bullet"/>
      <w:lvlText w:val="•"/>
      <w:lvlJc w:val="left"/>
      <w:pPr>
        <w:tabs>
          <w:tab w:val="num" w:pos="5760"/>
        </w:tabs>
        <w:ind w:left="5760" w:hanging="360"/>
      </w:pPr>
      <w:rPr>
        <w:rFonts w:ascii="Arial" w:hAnsi="Arial" w:hint="default"/>
      </w:rPr>
    </w:lvl>
    <w:lvl w:ilvl="8" w:tplc="0750DC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8B34F53"/>
    <w:multiLevelType w:val="hybridMultilevel"/>
    <w:tmpl w:val="DDD49CF4"/>
    <w:lvl w:ilvl="0" w:tplc="E230EFE6">
      <w:start w:val="1"/>
      <w:numFmt w:val="bullet"/>
      <w:lvlText w:val="•"/>
      <w:lvlJc w:val="left"/>
      <w:pPr>
        <w:tabs>
          <w:tab w:val="num" w:pos="720"/>
        </w:tabs>
        <w:ind w:left="720" w:hanging="360"/>
      </w:pPr>
      <w:rPr>
        <w:rFonts w:ascii="Arial" w:hAnsi="Arial" w:hint="default"/>
      </w:rPr>
    </w:lvl>
    <w:lvl w:ilvl="1" w:tplc="E4ECBA26">
      <w:start w:val="60"/>
      <w:numFmt w:val="bullet"/>
      <w:lvlText w:val="•"/>
      <w:lvlJc w:val="left"/>
      <w:pPr>
        <w:tabs>
          <w:tab w:val="num" w:pos="1440"/>
        </w:tabs>
        <w:ind w:left="1440" w:hanging="360"/>
      </w:pPr>
      <w:rPr>
        <w:rFonts w:ascii="Arial" w:hAnsi="Arial" w:hint="default"/>
      </w:rPr>
    </w:lvl>
    <w:lvl w:ilvl="2" w:tplc="E0829526">
      <w:start w:val="1"/>
      <w:numFmt w:val="bullet"/>
      <w:lvlText w:val="•"/>
      <w:lvlJc w:val="left"/>
      <w:pPr>
        <w:tabs>
          <w:tab w:val="num" w:pos="2160"/>
        </w:tabs>
        <w:ind w:left="2160" w:hanging="360"/>
      </w:pPr>
      <w:rPr>
        <w:rFonts w:ascii="Arial" w:hAnsi="Arial" w:hint="default"/>
      </w:rPr>
    </w:lvl>
    <w:lvl w:ilvl="3" w:tplc="613466E4">
      <w:start w:val="1"/>
      <w:numFmt w:val="bullet"/>
      <w:lvlText w:val="•"/>
      <w:lvlJc w:val="left"/>
      <w:pPr>
        <w:tabs>
          <w:tab w:val="num" w:pos="2880"/>
        </w:tabs>
        <w:ind w:left="2880" w:hanging="360"/>
      </w:pPr>
      <w:rPr>
        <w:rFonts w:ascii="Arial" w:hAnsi="Arial" w:hint="default"/>
      </w:rPr>
    </w:lvl>
    <w:lvl w:ilvl="4" w:tplc="BB2891EA" w:tentative="1">
      <w:start w:val="1"/>
      <w:numFmt w:val="bullet"/>
      <w:lvlText w:val="•"/>
      <w:lvlJc w:val="left"/>
      <w:pPr>
        <w:tabs>
          <w:tab w:val="num" w:pos="3600"/>
        </w:tabs>
        <w:ind w:left="3600" w:hanging="360"/>
      </w:pPr>
      <w:rPr>
        <w:rFonts w:ascii="Arial" w:hAnsi="Arial" w:hint="default"/>
      </w:rPr>
    </w:lvl>
    <w:lvl w:ilvl="5" w:tplc="34FC210C" w:tentative="1">
      <w:start w:val="1"/>
      <w:numFmt w:val="bullet"/>
      <w:lvlText w:val="•"/>
      <w:lvlJc w:val="left"/>
      <w:pPr>
        <w:tabs>
          <w:tab w:val="num" w:pos="4320"/>
        </w:tabs>
        <w:ind w:left="4320" w:hanging="360"/>
      </w:pPr>
      <w:rPr>
        <w:rFonts w:ascii="Arial" w:hAnsi="Arial" w:hint="default"/>
      </w:rPr>
    </w:lvl>
    <w:lvl w:ilvl="6" w:tplc="2092D090" w:tentative="1">
      <w:start w:val="1"/>
      <w:numFmt w:val="bullet"/>
      <w:lvlText w:val="•"/>
      <w:lvlJc w:val="left"/>
      <w:pPr>
        <w:tabs>
          <w:tab w:val="num" w:pos="5040"/>
        </w:tabs>
        <w:ind w:left="5040" w:hanging="360"/>
      </w:pPr>
      <w:rPr>
        <w:rFonts w:ascii="Arial" w:hAnsi="Arial" w:hint="default"/>
      </w:rPr>
    </w:lvl>
    <w:lvl w:ilvl="7" w:tplc="A8E00F76" w:tentative="1">
      <w:start w:val="1"/>
      <w:numFmt w:val="bullet"/>
      <w:lvlText w:val="•"/>
      <w:lvlJc w:val="left"/>
      <w:pPr>
        <w:tabs>
          <w:tab w:val="num" w:pos="5760"/>
        </w:tabs>
        <w:ind w:left="5760" w:hanging="360"/>
      </w:pPr>
      <w:rPr>
        <w:rFonts w:ascii="Arial" w:hAnsi="Arial" w:hint="default"/>
      </w:rPr>
    </w:lvl>
    <w:lvl w:ilvl="8" w:tplc="7E840E6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91F0B"/>
    <w:rsid w:val="000A6473"/>
    <w:rsid w:val="000B4E56"/>
    <w:rsid w:val="000B5E8E"/>
    <w:rsid w:val="000B6302"/>
    <w:rsid w:val="000E63F6"/>
    <w:rsid w:val="000E7609"/>
    <w:rsid w:val="000F2546"/>
    <w:rsid w:val="000F7968"/>
    <w:rsid w:val="00100719"/>
    <w:rsid w:val="00101626"/>
    <w:rsid w:val="0011270B"/>
    <w:rsid w:val="00112B18"/>
    <w:rsid w:val="0013382B"/>
    <w:rsid w:val="001364A1"/>
    <w:rsid w:val="0013691F"/>
    <w:rsid w:val="00144535"/>
    <w:rsid w:val="0015000E"/>
    <w:rsid w:val="0016131F"/>
    <w:rsid w:val="00174266"/>
    <w:rsid w:val="001842A2"/>
    <w:rsid w:val="001953B8"/>
    <w:rsid w:val="001954C0"/>
    <w:rsid w:val="001C46DF"/>
    <w:rsid w:val="001F47ED"/>
    <w:rsid w:val="00204A81"/>
    <w:rsid w:val="00207AB3"/>
    <w:rsid w:val="002127E2"/>
    <w:rsid w:val="002141E0"/>
    <w:rsid w:val="00214C87"/>
    <w:rsid w:val="00215035"/>
    <w:rsid w:val="00216BDC"/>
    <w:rsid w:val="00237044"/>
    <w:rsid w:val="00264C90"/>
    <w:rsid w:val="002665EE"/>
    <w:rsid w:val="00275410"/>
    <w:rsid w:val="00277E82"/>
    <w:rsid w:val="00284160"/>
    <w:rsid w:val="00291DDD"/>
    <w:rsid w:val="002A49EA"/>
    <w:rsid w:val="002A7181"/>
    <w:rsid w:val="002B08E8"/>
    <w:rsid w:val="002B3503"/>
    <w:rsid w:val="002D0E2F"/>
    <w:rsid w:val="002D4398"/>
    <w:rsid w:val="002F5B7F"/>
    <w:rsid w:val="002F6A38"/>
    <w:rsid w:val="003025C5"/>
    <w:rsid w:val="00317483"/>
    <w:rsid w:val="00322F1F"/>
    <w:rsid w:val="003255D1"/>
    <w:rsid w:val="0034701D"/>
    <w:rsid w:val="00347DB1"/>
    <w:rsid w:val="00347DEA"/>
    <w:rsid w:val="00370E99"/>
    <w:rsid w:val="003717B0"/>
    <w:rsid w:val="00373ECA"/>
    <w:rsid w:val="003777FE"/>
    <w:rsid w:val="00385186"/>
    <w:rsid w:val="003851D8"/>
    <w:rsid w:val="00391391"/>
    <w:rsid w:val="00391CB8"/>
    <w:rsid w:val="00395052"/>
    <w:rsid w:val="003B52C2"/>
    <w:rsid w:val="003B55EA"/>
    <w:rsid w:val="003B7888"/>
    <w:rsid w:val="003D0EF8"/>
    <w:rsid w:val="003D58BC"/>
    <w:rsid w:val="003E17B6"/>
    <w:rsid w:val="003E3FE0"/>
    <w:rsid w:val="003F27C0"/>
    <w:rsid w:val="003F33DF"/>
    <w:rsid w:val="003F7CA0"/>
    <w:rsid w:val="0040624B"/>
    <w:rsid w:val="0042109F"/>
    <w:rsid w:val="004256EC"/>
    <w:rsid w:val="00426417"/>
    <w:rsid w:val="0042683F"/>
    <w:rsid w:val="00426A90"/>
    <w:rsid w:val="00432E6A"/>
    <w:rsid w:val="0043450E"/>
    <w:rsid w:val="00453BA5"/>
    <w:rsid w:val="00454E53"/>
    <w:rsid w:val="00456024"/>
    <w:rsid w:val="00470280"/>
    <w:rsid w:val="004761FF"/>
    <w:rsid w:val="00482477"/>
    <w:rsid w:val="00491386"/>
    <w:rsid w:val="00494F18"/>
    <w:rsid w:val="004A41DA"/>
    <w:rsid w:val="004A5A7A"/>
    <w:rsid w:val="004A5FC5"/>
    <w:rsid w:val="004B37A7"/>
    <w:rsid w:val="004C0103"/>
    <w:rsid w:val="004C58F9"/>
    <w:rsid w:val="004D0C67"/>
    <w:rsid w:val="004D23C5"/>
    <w:rsid w:val="004D3D81"/>
    <w:rsid w:val="004E3C24"/>
    <w:rsid w:val="004F1FDB"/>
    <w:rsid w:val="004F3FCB"/>
    <w:rsid w:val="00502C71"/>
    <w:rsid w:val="00526B16"/>
    <w:rsid w:val="00533CC8"/>
    <w:rsid w:val="00535513"/>
    <w:rsid w:val="0053656F"/>
    <w:rsid w:val="00547A0C"/>
    <w:rsid w:val="00557851"/>
    <w:rsid w:val="00560A63"/>
    <w:rsid w:val="005638F7"/>
    <w:rsid w:val="00564B2E"/>
    <w:rsid w:val="00570B14"/>
    <w:rsid w:val="00577B45"/>
    <w:rsid w:val="00577FB8"/>
    <w:rsid w:val="005905F8"/>
    <w:rsid w:val="00592FB0"/>
    <w:rsid w:val="005956B7"/>
    <w:rsid w:val="00597925"/>
    <w:rsid w:val="005B2640"/>
    <w:rsid w:val="005B3821"/>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80F48"/>
    <w:rsid w:val="00690682"/>
    <w:rsid w:val="006919C7"/>
    <w:rsid w:val="006A11C0"/>
    <w:rsid w:val="006C08CB"/>
    <w:rsid w:val="006C6840"/>
    <w:rsid w:val="006E7632"/>
    <w:rsid w:val="00700E66"/>
    <w:rsid w:val="00702B86"/>
    <w:rsid w:val="00726265"/>
    <w:rsid w:val="00732A0F"/>
    <w:rsid w:val="00734EBD"/>
    <w:rsid w:val="00743D2C"/>
    <w:rsid w:val="00745200"/>
    <w:rsid w:val="0079324C"/>
    <w:rsid w:val="007B108D"/>
    <w:rsid w:val="007D20DF"/>
    <w:rsid w:val="007D39B7"/>
    <w:rsid w:val="007D7202"/>
    <w:rsid w:val="007E7E88"/>
    <w:rsid w:val="007F3C9B"/>
    <w:rsid w:val="00805171"/>
    <w:rsid w:val="00821B89"/>
    <w:rsid w:val="008236E4"/>
    <w:rsid w:val="00850296"/>
    <w:rsid w:val="008654E6"/>
    <w:rsid w:val="00880176"/>
    <w:rsid w:val="00882113"/>
    <w:rsid w:val="00882B5D"/>
    <w:rsid w:val="008A1BAE"/>
    <w:rsid w:val="008A4493"/>
    <w:rsid w:val="008B3B76"/>
    <w:rsid w:val="008B41D0"/>
    <w:rsid w:val="008D215B"/>
    <w:rsid w:val="0091383D"/>
    <w:rsid w:val="00913F15"/>
    <w:rsid w:val="00940559"/>
    <w:rsid w:val="00960CB9"/>
    <w:rsid w:val="00960D1A"/>
    <w:rsid w:val="009854B8"/>
    <w:rsid w:val="00996062"/>
    <w:rsid w:val="009B1E68"/>
    <w:rsid w:val="009B6377"/>
    <w:rsid w:val="009C4154"/>
    <w:rsid w:val="009D1DBD"/>
    <w:rsid w:val="009F686C"/>
    <w:rsid w:val="00A13D7E"/>
    <w:rsid w:val="00A27AB9"/>
    <w:rsid w:val="00A3348E"/>
    <w:rsid w:val="00A369CE"/>
    <w:rsid w:val="00A37358"/>
    <w:rsid w:val="00A41533"/>
    <w:rsid w:val="00A422BE"/>
    <w:rsid w:val="00A451E8"/>
    <w:rsid w:val="00A4622B"/>
    <w:rsid w:val="00A57EC0"/>
    <w:rsid w:val="00A6018C"/>
    <w:rsid w:val="00A6209B"/>
    <w:rsid w:val="00A76C97"/>
    <w:rsid w:val="00A80F2A"/>
    <w:rsid w:val="00A87F69"/>
    <w:rsid w:val="00A92454"/>
    <w:rsid w:val="00AA1F4F"/>
    <w:rsid w:val="00AC1C1F"/>
    <w:rsid w:val="00AD70EE"/>
    <w:rsid w:val="00AE6327"/>
    <w:rsid w:val="00AF4AA7"/>
    <w:rsid w:val="00AF7CB0"/>
    <w:rsid w:val="00B07F37"/>
    <w:rsid w:val="00B17277"/>
    <w:rsid w:val="00B35E69"/>
    <w:rsid w:val="00B4385F"/>
    <w:rsid w:val="00B55331"/>
    <w:rsid w:val="00B65B59"/>
    <w:rsid w:val="00B66186"/>
    <w:rsid w:val="00B718F5"/>
    <w:rsid w:val="00B7606E"/>
    <w:rsid w:val="00B80895"/>
    <w:rsid w:val="00B85CAD"/>
    <w:rsid w:val="00B91BF9"/>
    <w:rsid w:val="00BB12FD"/>
    <w:rsid w:val="00BC764C"/>
    <w:rsid w:val="00BD1FA0"/>
    <w:rsid w:val="00BE0C63"/>
    <w:rsid w:val="00BE2195"/>
    <w:rsid w:val="00BF24D8"/>
    <w:rsid w:val="00BF4B17"/>
    <w:rsid w:val="00C0016C"/>
    <w:rsid w:val="00C037A9"/>
    <w:rsid w:val="00C212DA"/>
    <w:rsid w:val="00C21554"/>
    <w:rsid w:val="00C2775A"/>
    <w:rsid w:val="00C55927"/>
    <w:rsid w:val="00C55D56"/>
    <w:rsid w:val="00C72131"/>
    <w:rsid w:val="00C81190"/>
    <w:rsid w:val="00C91784"/>
    <w:rsid w:val="00C93514"/>
    <w:rsid w:val="00CC7A9E"/>
    <w:rsid w:val="00CE59D8"/>
    <w:rsid w:val="00D05C6C"/>
    <w:rsid w:val="00D218B9"/>
    <w:rsid w:val="00D275CC"/>
    <w:rsid w:val="00D3346C"/>
    <w:rsid w:val="00D36662"/>
    <w:rsid w:val="00D43C68"/>
    <w:rsid w:val="00D43D81"/>
    <w:rsid w:val="00D46BAF"/>
    <w:rsid w:val="00D767C4"/>
    <w:rsid w:val="00D77CF5"/>
    <w:rsid w:val="00D846E1"/>
    <w:rsid w:val="00DB1B49"/>
    <w:rsid w:val="00DC59E2"/>
    <w:rsid w:val="00DD29DC"/>
    <w:rsid w:val="00DD33D0"/>
    <w:rsid w:val="00DD67E6"/>
    <w:rsid w:val="00E01227"/>
    <w:rsid w:val="00E10F90"/>
    <w:rsid w:val="00E26F7C"/>
    <w:rsid w:val="00E32A5E"/>
    <w:rsid w:val="00E332BD"/>
    <w:rsid w:val="00E33B68"/>
    <w:rsid w:val="00E33C64"/>
    <w:rsid w:val="00E47D94"/>
    <w:rsid w:val="00E5406D"/>
    <w:rsid w:val="00E962C5"/>
    <w:rsid w:val="00EA3488"/>
    <w:rsid w:val="00EA4F32"/>
    <w:rsid w:val="00EB5F7D"/>
    <w:rsid w:val="00EB7996"/>
    <w:rsid w:val="00EC5284"/>
    <w:rsid w:val="00EC589F"/>
    <w:rsid w:val="00ED3D2B"/>
    <w:rsid w:val="00EE549F"/>
    <w:rsid w:val="00EF02DF"/>
    <w:rsid w:val="00EF46A2"/>
    <w:rsid w:val="00F03C66"/>
    <w:rsid w:val="00F0498F"/>
    <w:rsid w:val="00F04BD4"/>
    <w:rsid w:val="00F134C7"/>
    <w:rsid w:val="00F135CB"/>
    <w:rsid w:val="00F26EEE"/>
    <w:rsid w:val="00F42785"/>
    <w:rsid w:val="00F47A93"/>
    <w:rsid w:val="00F50561"/>
    <w:rsid w:val="00F50D8B"/>
    <w:rsid w:val="00F561C3"/>
    <w:rsid w:val="00F679A5"/>
    <w:rsid w:val="00F72659"/>
    <w:rsid w:val="00F74AF5"/>
    <w:rsid w:val="00F9008C"/>
    <w:rsid w:val="00F97D64"/>
    <w:rsid w:val="00FB1251"/>
    <w:rsid w:val="00FC649F"/>
    <w:rsid w:val="00FC6BCE"/>
    <w:rsid w:val="00FD085A"/>
    <w:rsid w:val="00FD2343"/>
    <w:rsid w:val="00FD263F"/>
    <w:rsid w:val="00FD543C"/>
    <w:rsid w:val="00FE0E2B"/>
    <w:rsid w:val="00FE4CAD"/>
    <w:rsid w:val="00FF01B5"/>
    <w:rsid w:val="00FF324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qFormat/>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列表段落 Char"/>
    <w:link w:val="ListParagraph"/>
    <w:uiPriority w:val="34"/>
    <w:qFormat/>
    <w:rsid w:val="00A80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1001">
      <w:bodyDiv w:val="1"/>
      <w:marLeft w:val="0"/>
      <w:marRight w:val="0"/>
      <w:marTop w:val="0"/>
      <w:marBottom w:val="0"/>
      <w:divBdr>
        <w:top w:val="none" w:sz="0" w:space="0" w:color="auto"/>
        <w:left w:val="none" w:sz="0" w:space="0" w:color="auto"/>
        <w:bottom w:val="none" w:sz="0" w:space="0" w:color="auto"/>
        <w:right w:val="none" w:sz="0" w:space="0" w:color="auto"/>
      </w:divBdr>
      <w:divsChild>
        <w:div w:id="1923443096">
          <w:marLeft w:val="1080"/>
          <w:marRight w:val="0"/>
          <w:marTop w:val="100"/>
          <w:marBottom w:val="0"/>
          <w:divBdr>
            <w:top w:val="none" w:sz="0" w:space="0" w:color="auto"/>
            <w:left w:val="none" w:sz="0" w:space="0" w:color="auto"/>
            <w:bottom w:val="none" w:sz="0" w:space="0" w:color="auto"/>
            <w:right w:val="none" w:sz="0" w:space="0" w:color="auto"/>
          </w:divBdr>
        </w:div>
        <w:div w:id="932665997">
          <w:marLeft w:val="1080"/>
          <w:marRight w:val="0"/>
          <w:marTop w:val="10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43400989">
      <w:bodyDiv w:val="1"/>
      <w:marLeft w:val="0"/>
      <w:marRight w:val="0"/>
      <w:marTop w:val="0"/>
      <w:marBottom w:val="0"/>
      <w:divBdr>
        <w:top w:val="none" w:sz="0" w:space="0" w:color="auto"/>
        <w:left w:val="none" w:sz="0" w:space="0" w:color="auto"/>
        <w:bottom w:val="none" w:sz="0" w:space="0" w:color="auto"/>
        <w:right w:val="none" w:sz="0" w:space="0" w:color="auto"/>
      </w:divBdr>
      <w:divsChild>
        <w:div w:id="1744137456">
          <w:marLeft w:val="360"/>
          <w:marRight w:val="0"/>
          <w:marTop w:val="200"/>
          <w:marBottom w:val="0"/>
          <w:divBdr>
            <w:top w:val="none" w:sz="0" w:space="0" w:color="auto"/>
            <w:left w:val="none" w:sz="0" w:space="0" w:color="auto"/>
            <w:bottom w:val="none" w:sz="0" w:space="0" w:color="auto"/>
            <w:right w:val="none" w:sz="0" w:space="0" w:color="auto"/>
          </w:divBdr>
        </w:div>
        <w:div w:id="1599673997">
          <w:marLeft w:val="1080"/>
          <w:marRight w:val="0"/>
          <w:marTop w:val="100"/>
          <w:marBottom w:val="0"/>
          <w:divBdr>
            <w:top w:val="none" w:sz="0" w:space="0" w:color="auto"/>
            <w:left w:val="none" w:sz="0" w:space="0" w:color="auto"/>
            <w:bottom w:val="none" w:sz="0" w:space="0" w:color="auto"/>
            <w:right w:val="none" w:sz="0" w:space="0" w:color="auto"/>
          </w:divBdr>
        </w:div>
        <w:div w:id="1537964376">
          <w:marLeft w:val="1800"/>
          <w:marRight w:val="0"/>
          <w:marTop w:val="100"/>
          <w:marBottom w:val="0"/>
          <w:divBdr>
            <w:top w:val="none" w:sz="0" w:space="0" w:color="auto"/>
            <w:left w:val="none" w:sz="0" w:space="0" w:color="auto"/>
            <w:bottom w:val="none" w:sz="0" w:space="0" w:color="auto"/>
            <w:right w:val="none" w:sz="0" w:space="0" w:color="auto"/>
          </w:divBdr>
        </w:div>
        <w:div w:id="910896107">
          <w:marLeft w:val="360"/>
          <w:marRight w:val="0"/>
          <w:marTop w:val="200"/>
          <w:marBottom w:val="0"/>
          <w:divBdr>
            <w:top w:val="none" w:sz="0" w:space="0" w:color="auto"/>
            <w:left w:val="none" w:sz="0" w:space="0" w:color="auto"/>
            <w:bottom w:val="none" w:sz="0" w:space="0" w:color="auto"/>
            <w:right w:val="none" w:sz="0" w:space="0" w:color="auto"/>
          </w:divBdr>
        </w:div>
        <w:div w:id="1247883986">
          <w:marLeft w:val="1080"/>
          <w:marRight w:val="0"/>
          <w:marTop w:val="100"/>
          <w:marBottom w:val="0"/>
          <w:divBdr>
            <w:top w:val="none" w:sz="0" w:space="0" w:color="auto"/>
            <w:left w:val="none" w:sz="0" w:space="0" w:color="auto"/>
            <w:bottom w:val="none" w:sz="0" w:space="0" w:color="auto"/>
            <w:right w:val="none" w:sz="0" w:space="0" w:color="auto"/>
          </w:divBdr>
        </w:div>
        <w:div w:id="1817910431">
          <w:marLeft w:val="180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7009315">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4068298">
      <w:bodyDiv w:val="1"/>
      <w:marLeft w:val="0"/>
      <w:marRight w:val="0"/>
      <w:marTop w:val="0"/>
      <w:marBottom w:val="0"/>
      <w:divBdr>
        <w:top w:val="none" w:sz="0" w:space="0" w:color="auto"/>
        <w:left w:val="none" w:sz="0" w:space="0" w:color="auto"/>
        <w:bottom w:val="none" w:sz="0" w:space="0" w:color="auto"/>
        <w:right w:val="none" w:sz="0" w:space="0" w:color="auto"/>
      </w:divBdr>
      <w:divsChild>
        <w:div w:id="1397048059">
          <w:marLeft w:val="360"/>
          <w:marRight w:val="0"/>
          <w:marTop w:val="200"/>
          <w:marBottom w:val="0"/>
          <w:divBdr>
            <w:top w:val="none" w:sz="0" w:space="0" w:color="auto"/>
            <w:left w:val="none" w:sz="0" w:space="0" w:color="auto"/>
            <w:bottom w:val="none" w:sz="0" w:space="0" w:color="auto"/>
            <w:right w:val="none" w:sz="0" w:space="0" w:color="auto"/>
          </w:divBdr>
        </w:div>
        <w:div w:id="319847646">
          <w:marLeft w:val="1080"/>
          <w:marRight w:val="0"/>
          <w:marTop w:val="100"/>
          <w:marBottom w:val="0"/>
          <w:divBdr>
            <w:top w:val="none" w:sz="0" w:space="0" w:color="auto"/>
            <w:left w:val="none" w:sz="0" w:space="0" w:color="auto"/>
            <w:bottom w:val="none" w:sz="0" w:space="0" w:color="auto"/>
            <w:right w:val="none" w:sz="0" w:space="0" w:color="auto"/>
          </w:divBdr>
        </w:div>
        <w:div w:id="169687022">
          <w:marLeft w:val="1800"/>
          <w:marRight w:val="0"/>
          <w:marTop w:val="100"/>
          <w:marBottom w:val="0"/>
          <w:divBdr>
            <w:top w:val="none" w:sz="0" w:space="0" w:color="auto"/>
            <w:left w:val="none" w:sz="0" w:space="0" w:color="auto"/>
            <w:bottom w:val="none" w:sz="0" w:space="0" w:color="auto"/>
            <w:right w:val="none" w:sz="0" w:space="0" w:color="auto"/>
          </w:divBdr>
        </w:div>
        <w:div w:id="711852850">
          <w:marLeft w:val="2520"/>
          <w:marRight w:val="0"/>
          <w:marTop w:val="100"/>
          <w:marBottom w:val="0"/>
          <w:divBdr>
            <w:top w:val="none" w:sz="0" w:space="0" w:color="auto"/>
            <w:left w:val="none" w:sz="0" w:space="0" w:color="auto"/>
            <w:bottom w:val="none" w:sz="0" w:space="0" w:color="auto"/>
            <w:right w:val="none" w:sz="0" w:space="0" w:color="auto"/>
          </w:divBdr>
        </w:div>
      </w:divsChild>
    </w:div>
    <w:div w:id="585185868">
      <w:bodyDiv w:val="1"/>
      <w:marLeft w:val="0"/>
      <w:marRight w:val="0"/>
      <w:marTop w:val="0"/>
      <w:marBottom w:val="0"/>
      <w:divBdr>
        <w:top w:val="none" w:sz="0" w:space="0" w:color="auto"/>
        <w:left w:val="none" w:sz="0" w:space="0" w:color="auto"/>
        <w:bottom w:val="none" w:sz="0" w:space="0" w:color="auto"/>
        <w:right w:val="none" w:sz="0" w:space="0" w:color="auto"/>
      </w:divBdr>
      <w:divsChild>
        <w:div w:id="874388180">
          <w:marLeft w:val="360"/>
          <w:marRight w:val="0"/>
          <w:marTop w:val="200"/>
          <w:marBottom w:val="0"/>
          <w:divBdr>
            <w:top w:val="none" w:sz="0" w:space="0" w:color="auto"/>
            <w:left w:val="none" w:sz="0" w:space="0" w:color="auto"/>
            <w:bottom w:val="none" w:sz="0" w:space="0" w:color="auto"/>
            <w:right w:val="none" w:sz="0" w:space="0" w:color="auto"/>
          </w:divBdr>
        </w:div>
        <w:div w:id="1540435018">
          <w:marLeft w:val="1080"/>
          <w:marRight w:val="0"/>
          <w:marTop w:val="100"/>
          <w:marBottom w:val="0"/>
          <w:divBdr>
            <w:top w:val="none" w:sz="0" w:space="0" w:color="auto"/>
            <w:left w:val="none" w:sz="0" w:space="0" w:color="auto"/>
            <w:bottom w:val="none" w:sz="0" w:space="0" w:color="auto"/>
            <w:right w:val="none" w:sz="0" w:space="0" w:color="auto"/>
          </w:divBdr>
        </w:div>
        <w:div w:id="526144288">
          <w:marLeft w:val="1800"/>
          <w:marRight w:val="0"/>
          <w:marTop w:val="100"/>
          <w:marBottom w:val="0"/>
          <w:divBdr>
            <w:top w:val="none" w:sz="0" w:space="0" w:color="auto"/>
            <w:left w:val="none" w:sz="0" w:space="0" w:color="auto"/>
            <w:bottom w:val="none" w:sz="0" w:space="0" w:color="auto"/>
            <w:right w:val="none" w:sz="0" w:space="0" w:color="auto"/>
          </w:divBdr>
        </w:div>
        <w:div w:id="1345086609">
          <w:marLeft w:val="2520"/>
          <w:marRight w:val="0"/>
          <w:marTop w:val="10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41229675">
      <w:bodyDiv w:val="1"/>
      <w:marLeft w:val="0"/>
      <w:marRight w:val="0"/>
      <w:marTop w:val="0"/>
      <w:marBottom w:val="0"/>
      <w:divBdr>
        <w:top w:val="none" w:sz="0" w:space="0" w:color="auto"/>
        <w:left w:val="none" w:sz="0" w:space="0" w:color="auto"/>
        <w:bottom w:val="none" w:sz="0" w:space="0" w:color="auto"/>
        <w:right w:val="none" w:sz="0" w:space="0" w:color="auto"/>
      </w:divBdr>
      <w:divsChild>
        <w:div w:id="332995583">
          <w:marLeft w:val="360"/>
          <w:marRight w:val="0"/>
          <w:marTop w:val="200"/>
          <w:marBottom w:val="0"/>
          <w:divBdr>
            <w:top w:val="none" w:sz="0" w:space="0" w:color="auto"/>
            <w:left w:val="none" w:sz="0" w:space="0" w:color="auto"/>
            <w:bottom w:val="none" w:sz="0" w:space="0" w:color="auto"/>
            <w:right w:val="none" w:sz="0" w:space="0" w:color="auto"/>
          </w:divBdr>
        </w:div>
      </w:divsChild>
    </w:div>
    <w:div w:id="687945847">
      <w:bodyDiv w:val="1"/>
      <w:marLeft w:val="0"/>
      <w:marRight w:val="0"/>
      <w:marTop w:val="0"/>
      <w:marBottom w:val="0"/>
      <w:divBdr>
        <w:top w:val="none" w:sz="0" w:space="0" w:color="auto"/>
        <w:left w:val="none" w:sz="0" w:space="0" w:color="auto"/>
        <w:bottom w:val="none" w:sz="0" w:space="0" w:color="auto"/>
        <w:right w:val="none" w:sz="0" w:space="0" w:color="auto"/>
      </w:divBdr>
      <w:divsChild>
        <w:div w:id="1193155677">
          <w:marLeft w:val="360"/>
          <w:marRight w:val="0"/>
          <w:marTop w:val="200"/>
          <w:marBottom w:val="0"/>
          <w:divBdr>
            <w:top w:val="none" w:sz="0" w:space="0" w:color="auto"/>
            <w:left w:val="none" w:sz="0" w:space="0" w:color="auto"/>
            <w:bottom w:val="none" w:sz="0" w:space="0" w:color="auto"/>
            <w:right w:val="none" w:sz="0" w:space="0" w:color="auto"/>
          </w:divBdr>
        </w:div>
        <w:div w:id="158737980">
          <w:marLeft w:val="360"/>
          <w:marRight w:val="0"/>
          <w:marTop w:val="200"/>
          <w:marBottom w:val="0"/>
          <w:divBdr>
            <w:top w:val="none" w:sz="0" w:space="0" w:color="auto"/>
            <w:left w:val="none" w:sz="0" w:space="0" w:color="auto"/>
            <w:bottom w:val="none" w:sz="0" w:space="0" w:color="auto"/>
            <w:right w:val="none" w:sz="0" w:space="0" w:color="auto"/>
          </w:divBdr>
        </w:div>
        <w:div w:id="1556769951">
          <w:marLeft w:val="1080"/>
          <w:marRight w:val="0"/>
          <w:marTop w:val="100"/>
          <w:marBottom w:val="0"/>
          <w:divBdr>
            <w:top w:val="none" w:sz="0" w:space="0" w:color="auto"/>
            <w:left w:val="none" w:sz="0" w:space="0" w:color="auto"/>
            <w:bottom w:val="none" w:sz="0" w:space="0" w:color="auto"/>
            <w:right w:val="none" w:sz="0" w:space="0" w:color="auto"/>
          </w:divBdr>
        </w:div>
        <w:div w:id="821625170">
          <w:marLeft w:val="1080"/>
          <w:marRight w:val="0"/>
          <w:marTop w:val="10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64177435">
      <w:bodyDiv w:val="1"/>
      <w:marLeft w:val="0"/>
      <w:marRight w:val="0"/>
      <w:marTop w:val="0"/>
      <w:marBottom w:val="0"/>
      <w:divBdr>
        <w:top w:val="none" w:sz="0" w:space="0" w:color="auto"/>
        <w:left w:val="none" w:sz="0" w:space="0" w:color="auto"/>
        <w:bottom w:val="none" w:sz="0" w:space="0" w:color="auto"/>
        <w:right w:val="none" w:sz="0" w:space="0" w:color="auto"/>
      </w:divBdr>
      <w:divsChild>
        <w:div w:id="759176169">
          <w:marLeft w:val="360"/>
          <w:marRight w:val="0"/>
          <w:marTop w:val="200"/>
          <w:marBottom w:val="0"/>
          <w:divBdr>
            <w:top w:val="none" w:sz="0" w:space="0" w:color="auto"/>
            <w:left w:val="none" w:sz="0" w:space="0" w:color="auto"/>
            <w:bottom w:val="none" w:sz="0" w:space="0" w:color="auto"/>
            <w:right w:val="none" w:sz="0" w:space="0" w:color="auto"/>
          </w:divBdr>
        </w:div>
        <w:div w:id="1058480498">
          <w:marLeft w:val="720"/>
          <w:marRight w:val="0"/>
          <w:marTop w:val="200"/>
          <w:marBottom w:val="0"/>
          <w:divBdr>
            <w:top w:val="none" w:sz="0" w:space="0" w:color="auto"/>
            <w:left w:val="none" w:sz="0" w:space="0" w:color="auto"/>
            <w:bottom w:val="none" w:sz="0" w:space="0" w:color="auto"/>
            <w:right w:val="none" w:sz="0" w:space="0" w:color="auto"/>
          </w:divBdr>
        </w:div>
        <w:div w:id="843395727">
          <w:marLeft w:val="720"/>
          <w:marRight w:val="0"/>
          <w:marTop w:val="200"/>
          <w:marBottom w:val="0"/>
          <w:divBdr>
            <w:top w:val="none" w:sz="0" w:space="0" w:color="auto"/>
            <w:left w:val="none" w:sz="0" w:space="0" w:color="auto"/>
            <w:bottom w:val="none" w:sz="0" w:space="0" w:color="auto"/>
            <w:right w:val="none" w:sz="0" w:space="0" w:color="auto"/>
          </w:divBdr>
        </w:div>
      </w:divsChild>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75649928">
      <w:bodyDiv w:val="1"/>
      <w:marLeft w:val="0"/>
      <w:marRight w:val="0"/>
      <w:marTop w:val="0"/>
      <w:marBottom w:val="0"/>
      <w:divBdr>
        <w:top w:val="none" w:sz="0" w:space="0" w:color="auto"/>
        <w:left w:val="none" w:sz="0" w:space="0" w:color="auto"/>
        <w:bottom w:val="none" w:sz="0" w:space="0" w:color="auto"/>
        <w:right w:val="none" w:sz="0" w:space="0" w:color="auto"/>
      </w:divBdr>
      <w:divsChild>
        <w:div w:id="394284913">
          <w:marLeft w:val="360"/>
          <w:marRight w:val="0"/>
          <w:marTop w:val="20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84302328">
      <w:bodyDiv w:val="1"/>
      <w:marLeft w:val="0"/>
      <w:marRight w:val="0"/>
      <w:marTop w:val="0"/>
      <w:marBottom w:val="0"/>
      <w:divBdr>
        <w:top w:val="none" w:sz="0" w:space="0" w:color="auto"/>
        <w:left w:val="none" w:sz="0" w:space="0" w:color="auto"/>
        <w:bottom w:val="none" w:sz="0" w:space="0" w:color="auto"/>
        <w:right w:val="none" w:sz="0" w:space="0" w:color="auto"/>
      </w:divBdr>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425761023">
      <w:bodyDiv w:val="1"/>
      <w:marLeft w:val="0"/>
      <w:marRight w:val="0"/>
      <w:marTop w:val="0"/>
      <w:marBottom w:val="0"/>
      <w:divBdr>
        <w:top w:val="none" w:sz="0" w:space="0" w:color="auto"/>
        <w:left w:val="none" w:sz="0" w:space="0" w:color="auto"/>
        <w:bottom w:val="none" w:sz="0" w:space="0" w:color="auto"/>
        <w:right w:val="none" w:sz="0" w:space="0" w:color="auto"/>
      </w:divBdr>
      <w:divsChild>
        <w:div w:id="1926955510">
          <w:marLeft w:val="360"/>
          <w:marRight w:val="0"/>
          <w:marTop w:val="200"/>
          <w:marBottom w:val="0"/>
          <w:divBdr>
            <w:top w:val="none" w:sz="0" w:space="0" w:color="auto"/>
            <w:left w:val="none" w:sz="0" w:space="0" w:color="auto"/>
            <w:bottom w:val="none" w:sz="0" w:space="0" w:color="auto"/>
            <w:right w:val="none" w:sz="0" w:space="0" w:color="auto"/>
          </w:divBdr>
        </w:div>
        <w:div w:id="361563583">
          <w:marLeft w:val="1080"/>
          <w:marRight w:val="0"/>
          <w:marTop w:val="100"/>
          <w:marBottom w:val="0"/>
          <w:divBdr>
            <w:top w:val="none" w:sz="0" w:space="0" w:color="auto"/>
            <w:left w:val="none" w:sz="0" w:space="0" w:color="auto"/>
            <w:bottom w:val="none" w:sz="0" w:space="0" w:color="auto"/>
            <w:right w:val="none" w:sz="0" w:space="0" w:color="auto"/>
          </w:divBdr>
        </w:div>
        <w:div w:id="2100902234">
          <w:marLeft w:val="1800"/>
          <w:marRight w:val="0"/>
          <w:marTop w:val="100"/>
          <w:marBottom w:val="0"/>
          <w:divBdr>
            <w:top w:val="none" w:sz="0" w:space="0" w:color="auto"/>
            <w:left w:val="none" w:sz="0" w:space="0" w:color="auto"/>
            <w:bottom w:val="none" w:sz="0" w:space="0" w:color="auto"/>
            <w:right w:val="none" w:sz="0" w:space="0" w:color="auto"/>
          </w:divBdr>
        </w:div>
        <w:div w:id="1921913666">
          <w:marLeft w:val="2520"/>
          <w:marRight w:val="0"/>
          <w:marTop w:val="100"/>
          <w:marBottom w:val="0"/>
          <w:divBdr>
            <w:top w:val="none" w:sz="0" w:space="0" w:color="auto"/>
            <w:left w:val="none" w:sz="0" w:space="0" w:color="auto"/>
            <w:bottom w:val="none" w:sz="0" w:space="0" w:color="auto"/>
            <w:right w:val="none" w:sz="0" w:space="0" w:color="auto"/>
          </w:divBdr>
        </w:div>
        <w:div w:id="399333382">
          <w:marLeft w:val="1800"/>
          <w:marRight w:val="0"/>
          <w:marTop w:val="100"/>
          <w:marBottom w:val="0"/>
          <w:divBdr>
            <w:top w:val="none" w:sz="0" w:space="0" w:color="auto"/>
            <w:left w:val="none" w:sz="0" w:space="0" w:color="auto"/>
            <w:bottom w:val="none" w:sz="0" w:space="0" w:color="auto"/>
            <w:right w:val="none" w:sz="0" w:space="0" w:color="auto"/>
          </w:divBdr>
        </w:div>
        <w:div w:id="1835947006">
          <w:marLeft w:val="2520"/>
          <w:marRight w:val="0"/>
          <w:marTop w:val="100"/>
          <w:marBottom w:val="0"/>
          <w:divBdr>
            <w:top w:val="none" w:sz="0" w:space="0" w:color="auto"/>
            <w:left w:val="none" w:sz="0" w:space="0" w:color="auto"/>
            <w:bottom w:val="none" w:sz="0" w:space="0" w:color="auto"/>
            <w:right w:val="none" w:sz="0" w:space="0" w:color="auto"/>
          </w:divBdr>
        </w:div>
        <w:div w:id="77875638">
          <w:marLeft w:val="1800"/>
          <w:marRight w:val="0"/>
          <w:marTop w:val="100"/>
          <w:marBottom w:val="0"/>
          <w:divBdr>
            <w:top w:val="none" w:sz="0" w:space="0" w:color="auto"/>
            <w:left w:val="none" w:sz="0" w:space="0" w:color="auto"/>
            <w:bottom w:val="none" w:sz="0" w:space="0" w:color="auto"/>
            <w:right w:val="none" w:sz="0" w:space="0" w:color="auto"/>
          </w:divBdr>
        </w:div>
        <w:div w:id="1183862874">
          <w:marLeft w:val="2520"/>
          <w:marRight w:val="0"/>
          <w:marTop w:val="100"/>
          <w:marBottom w:val="0"/>
          <w:divBdr>
            <w:top w:val="none" w:sz="0" w:space="0" w:color="auto"/>
            <w:left w:val="none" w:sz="0" w:space="0" w:color="auto"/>
            <w:bottom w:val="none" w:sz="0" w:space="0" w:color="auto"/>
            <w:right w:val="none" w:sz="0" w:space="0" w:color="auto"/>
          </w:divBdr>
        </w:div>
        <w:div w:id="850875115">
          <w:marLeft w:val="2520"/>
          <w:marRight w:val="0"/>
          <w:marTop w:val="100"/>
          <w:marBottom w:val="0"/>
          <w:divBdr>
            <w:top w:val="none" w:sz="0" w:space="0" w:color="auto"/>
            <w:left w:val="none" w:sz="0" w:space="0" w:color="auto"/>
            <w:bottom w:val="none" w:sz="0" w:space="0" w:color="auto"/>
            <w:right w:val="none" w:sz="0" w:space="0" w:color="auto"/>
          </w:divBdr>
        </w:div>
        <w:div w:id="1262647552">
          <w:marLeft w:val="360"/>
          <w:marRight w:val="0"/>
          <w:marTop w:val="200"/>
          <w:marBottom w:val="0"/>
          <w:divBdr>
            <w:top w:val="none" w:sz="0" w:space="0" w:color="auto"/>
            <w:left w:val="none" w:sz="0" w:space="0" w:color="auto"/>
            <w:bottom w:val="none" w:sz="0" w:space="0" w:color="auto"/>
            <w:right w:val="none" w:sz="0" w:space="0" w:color="auto"/>
          </w:divBdr>
        </w:div>
        <w:div w:id="1373503733">
          <w:marLeft w:val="1080"/>
          <w:marRight w:val="0"/>
          <w:marTop w:val="100"/>
          <w:marBottom w:val="0"/>
          <w:divBdr>
            <w:top w:val="none" w:sz="0" w:space="0" w:color="auto"/>
            <w:left w:val="none" w:sz="0" w:space="0" w:color="auto"/>
            <w:bottom w:val="none" w:sz="0" w:space="0" w:color="auto"/>
            <w:right w:val="none" w:sz="0" w:space="0" w:color="auto"/>
          </w:divBdr>
        </w:div>
        <w:div w:id="1894343899">
          <w:marLeft w:val="1800"/>
          <w:marRight w:val="0"/>
          <w:marTop w:val="100"/>
          <w:marBottom w:val="0"/>
          <w:divBdr>
            <w:top w:val="none" w:sz="0" w:space="0" w:color="auto"/>
            <w:left w:val="none" w:sz="0" w:space="0" w:color="auto"/>
            <w:bottom w:val="none" w:sz="0" w:space="0" w:color="auto"/>
            <w:right w:val="none" w:sz="0" w:space="0" w:color="auto"/>
          </w:divBdr>
        </w:div>
        <w:div w:id="615600064">
          <w:marLeft w:val="2520"/>
          <w:marRight w:val="0"/>
          <w:marTop w:val="100"/>
          <w:marBottom w:val="0"/>
          <w:divBdr>
            <w:top w:val="none" w:sz="0" w:space="0" w:color="auto"/>
            <w:left w:val="none" w:sz="0" w:space="0" w:color="auto"/>
            <w:bottom w:val="none" w:sz="0" w:space="0" w:color="auto"/>
            <w:right w:val="none" w:sz="0" w:space="0" w:color="auto"/>
          </w:divBdr>
        </w:div>
        <w:div w:id="1476220480">
          <w:marLeft w:val="1800"/>
          <w:marRight w:val="0"/>
          <w:marTop w:val="100"/>
          <w:marBottom w:val="0"/>
          <w:divBdr>
            <w:top w:val="none" w:sz="0" w:space="0" w:color="auto"/>
            <w:left w:val="none" w:sz="0" w:space="0" w:color="auto"/>
            <w:bottom w:val="none" w:sz="0" w:space="0" w:color="auto"/>
            <w:right w:val="none" w:sz="0" w:space="0" w:color="auto"/>
          </w:divBdr>
        </w:div>
        <w:div w:id="379015228">
          <w:marLeft w:val="2520"/>
          <w:marRight w:val="0"/>
          <w:marTop w:val="100"/>
          <w:marBottom w:val="0"/>
          <w:divBdr>
            <w:top w:val="none" w:sz="0" w:space="0" w:color="auto"/>
            <w:left w:val="none" w:sz="0" w:space="0" w:color="auto"/>
            <w:bottom w:val="none" w:sz="0" w:space="0" w:color="auto"/>
            <w:right w:val="none" w:sz="0" w:space="0" w:color="auto"/>
          </w:divBdr>
        </w:div>
        <w:div w:id="1404839201">
          <w:marLeft w:val="1800"/>
          <w:marRight w:val="0"/>
          <w:marTop w:val="100"/>
          <w:marBottom w:val="0"/>
          <w:divBdr>
            <w:top w:val="none" w:sz="0" w:space="0" w:color="auto"/>
            <w:left w:val="none" w:sz="0" w:space="0" w:color="auto"/>
            <w:bottom w:val="none" w:sz="0" w:space="0" w:color="auto"/>
            <w:right w:val="none" w:sz="0" w:space="0" w:color="auto"/>
          </w:divBdr>
        </w:div>
        <w:div w:id="874851538">
          <w:marLeft w:val="2520"/>
          <w:marRight w:val="0"/>
          <w:marTop w:val="100"/>
          <w:marBottom w:val="0"/>
          <w:divBdr>
            <w:top w:val="none" w:sz="0" w:space="0" w:color="auto"/>
            <w:left w:val="none" w:sz="0" w:space="0" w:color="auto"/>
            <w:bottom w:val="none" w:sz="0" w:space="0" w:color="auto"/>
            <w:right w:val="none" w:sz="0" w:space="0" w:color="auto"/>
          </w:divBdr>
        </w:div>
        <w:div w:id="1468232521">
          <w:marLeft w:val="2520"/>
          <w:marRight w:val="0"/>
          <w:marTop w:val="100"/>
          <w:marBottom w:val="0"/>
          <w:divBdr>
            <w:top w:val="none" w:sz="0" w:space="0" w:color="auto"/>
            <w:left w:val="none" w:sz="0" w:space="0" w:color="auto"/>
            <w:bottom w:val="none" w:sz="0" w:space="0" w:color="auto"/>
            <w:right w:val="none" w:sz="0" w:space="0" w:color="auto"/>
          </w:divBdr>
        </w:div>
      </w:divsChild>
    </w:div>
    <w:div w:id="1514488216">
      <w:bodyDiv w:val="1"/>
      <w:marLeft w:val="0"/>
      <w:marRight w:val="0"/>
      <w:marTop w:val="0"/>
      <w:marBottom w:val="0"/>
      <w:divBdr>
        <w:top w:val="none" w:sz="0" w:space="0" w:color="auto"/>
        <w:left w:val="none" w:sz="0" w:space="0" w:color="auto"/>
        <w:bottom w:val="none" w:sz="0" w:space="0" w:color="auto"/>
        <w:right w:val="none" w:sz="0" w:space="0" w:color="auto"/>
      </w:divBdr>
      <w:divsChild>
        <w:div w:id="78330155">
          <w:marLeft w:val="360"/>
          <w:marRight w:val="0"/>
          <w:marTop w:val="200"/>
          <w:marBottom w:val="0"/>
          <w:divBdr>
            <w:top w:val="none" w:sz="0" w:space="0" w:color="auto"/>
            <w:left w:val="none" w:sz="0" w:space="0" w:color="auto"/>
            <w:bottom w:val="none" w:sz="0" w:space="0" w:color="auto"/>
            <w:right w:val="none" w:sz="0" w:space="0" w:color="auto"/>
          </w:divBdr>
        </w:div>
        <w:div w:id="1641034304">
          <w:marLeft w:val="1080"/>
          <w:marRight w:val="0"/>
          <w:marTop w:val="100"/>
          <w:marBottom w:val="0"/>
          <w:divBdr>
            <w:top w:val="none" w:sz="0" w:space="0" w:color="auto"/>
            <w:left w:val="none" w:sz="0" w:space="0" w:color="auto"/>
            <w:bottom w:val="none" w:sz="0" w:space="0" w:color="auto"/>
            <w:right w:val="none" w:sz="0" w:space="0" w:color="auto"/>
          </w:divBdr>
        </w:div>
        <w:div w:id="748774421">
          <w:marLeft w:val="1080"/>
          <w:marRight w:val="0"/>
          <w:marTop w:val="100"/>
          <w:marBottom w:val="0"/>
          <w:divBdr>
            <w:top w:val="none" w:sz="0" w:space="0" w:color="auto"/>
            <w:left w:val="none" w:sz="0" w:space="0" w:color="auto"/>
            <w:bottom w:val="none" w:sz="0" w:space="0" w:color="auto"/>
            <w:right w:val="none" w:sz="0" w:space="0" w:color="auto"/>
          </w:divBdr>
        </w:div>
        <w:div w:id="1865513200">
          <w:marLeft w:val="1080"/>
          <w:marRight w:val="0"/>
          <w:marTop w:val="100"/>
          <w:marBottom w:val="0"/>
          <w:divBdr>
            <w:top w:val="none" w:sz="0" w:space="0" w:color="auto"/>
            <w:left w:val="none" w:sz="0" w:space="0" w:color="auto"/>
            <w:bottom w:val="none" w:sz="0" w:space="0" w:color="auto"/>
            <w:right w:val="none" w:sz="0" w:space="0" w:color="auto"/>
          </w:divBdr>
        </w:div>
        <w:div w:id="708919165">
          <w:marLeft w:val="1080"/>
          <w:marRight w:val="0"/>
          <w:marTop w:val="100"/>
          <w:marBottom w:val="0"/>
          <w:divBdr>
            <w:top w:val="none" w:sz="0" w:space="0" w:color="auto"/>
            <w:left w:val="none" w:sz="0" w:space="0" w:color="auto"/>
            <w:bottom w:val="none" w:sz="0" w:space="0" w:color="auto"/>
            <w:right w:val="none" w:sz="0" w:space="0" w:color="auto"/>
          </w:divBdr>
        </w:div>
        <w:div w:id="426775302">
          <w:marLeft w:val="1080"/>
          <w:marRight w:val="0"/>
          <w:marTop w:val="10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57691398">
      <w:bodyDiv w:val="1"/>
      <w:marLeft w:val="0"/>
      <w:marRight w:val="0"/>
      <w:marTop w:val="0"/>
      <w:marBottom w:val="0"/>
      <w:divBdr>
        <w:top w:val="none" w:sz="0" w:space="0" w:color="auto"/>
        <w:left w:val="none" w:sz="0" w:space="0" w:color="auto"/>
        <w:bottom w:val="none" w:sz="0" w:space="0" w:color="auto"/>
        <w:right w:val="none" w:sz="0" w:space="0" w:color="auto"/>
      </w:divBdr>
      <w:divsChild>
        <w:div w:id="206113538">
          <w:marLeft w:val="360"/>
          <w:marRight w:val="0"/>
          <w:marTop w:val="200"/>
          <w:marBottom w:val="0"/>
          <w:divBdr>
            <w:top w:val="none" w:sz="0" w:space="0" w:color="auto"/>
            <w:left w:val="none" w:sz="0" w:space="0" w:color="auto"/>
            <w:bottom w:val="none" w:sz="0" w:space="0" w:color="auto"/>
            <w:right w:val="none" w:sz="0" w:space="0" w:color="auto"/>
          </w:divBdr>
        </w:div>
        <w:div w:id="1874268657">
          <w:marLeft w:val="1080"/>
          <w:marRight w:val="0"/>
          <w:marTop w:val="100"/>
          <w:marBottom w:val="0"/>
          <w:divBdr>
            <w:top w:val="none" w:sz="0" w:space="0" w:color="auto"/>
            <w:left w:val="none" w:sz="0" w:space="0" w:color="auto"/>
            <w:bottom w:val="none" w:sz="0" w:space="0" w:color="auto"/>
            <w:right w:val="none" w:sz="0" w:space="0" w:color="auto"/>
          </w:divBdr>
        </w:div>
        <w:div w:id="2082946274">
          <w:marLeft w:val="1800"/>
          <w:marRight w:val="0"/>
          <w:marTop w:val="100"/>
          <w:marBottom w:val="0"/>
          <w:divBdr>
            <w:top w:val="none" w:sz="0" w:space="0" w:color="auto"/>
            <w:left w:val="none" w:sz="0" w:space="0" w:color="auto"/>
            <w:bottom w:val="none" w:sz="0" w:space="0" w:color="auto"/>
            <w:right w:val="none" w:sz="0" w:space="0" w:color="auto"/>
          </w:divBdr>
        </w:div>
        <w:div w:id="1431777426">
          <w:marLeft w:val="2520"/>
          <w:marRight w:val="0"/>
          <w:marTop w:val="100"/>
          <w:marBottom w:val="0"/>
          <w:divBdr>
            <w:top w:val="none" w:sz="0" w:space="0" w:color="auto"/>
            <w:left w:val="none" w:sz="0" w:space="0" w:color="auto"/>
            <w:bottom w:val="none" w:sz="0" w:space="0" w:color="auto"/>
            <w:right w:val="none" w:sz="0" w:space="0" w:color="auto"/>
          </w:divBdr>
        </w:div>
      </w:divsChild>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65884059">
      <w:bodyDiv w:val="1"/>
      <w:marLeft w:val="0"/>
      <w:marRight w:val="0"/>
      <w:marTop w:val="0"/>
      <w:marBottom w:val="0"/>
      <w:divBdr>
        <w:top w:val="none" w:sz="0" w:space="0" w:color="auto"/>
        <w:left w:val="none" w:sz="0" w:space="0" w:color="auto"/>
        <w:bottom w:val="none" w:sz="0" w:space="0" w:color="auto"/>
        <w:right w:val="none" w:sz="0" w:space="0" w:color="auto"/>
      </w:divBdr>
      <w:divsChild>
        <w:div w:id="698697363">
          <w:marLeft w:val="360"/>
          <w:marRight w:val="0"/>
          <w:marTop w:val="200"/>
          <w:marBottom w:val="0"/>
          <w:divBdr>
            <w:top w:val="none" w:sz="0" w:space="0" w:color="auto"/>
            <w:left w:val="none" w:sz="0" w:space="0" w:color="auto"/>
            <w:bottom w:val="none" w:sz="0" w:space="0" w:color="auto"/>
            <w:right w:val="none" w:sz="0" w:space="0" w:color="auto"/>
          </w:divBdr>
        </w:div>
        <w:div w:id="1986818187">
          <w:marLeft w:val="360"/>
          <w:marRight w:val="0"/>
          <w:marTop w:val="200"/>
          <w:marBottom w:val="0"/>
          <w:divBdr>
            <w:top w:val="none" w:sz="0" w:space="0" w:color="auto"/>
            <w:left w:val="none" w:sz="0" w:space="0" w:color="auto"/>
            <w:bottom w:val="none" w:sz="0" w:space="0" w:color="auto"/>
            <w:right w:val="none" w:sz="0" w:space="0" w:color="auto"/>
          </w:divBdr>
        </w:div>
        <w:div w:id="1612929050">
          <w:marLeft w:val="360"/>
          <w:marRight w:val="0"/>
          <w:marTop w:val="200"/>
          <w:marBottom w:val="0"/>
          <w:divBdr>
            <w:top w:val="none" w:sz="0" w:space="0" w:color="auto"/>
            <w:left w:val="none" w:sz="0" w:space="0" w:color="auto"/>
            <w:bottom w:val="none" w:sz="0" w:space="0" w:color="auto"/>
            <w:right w:val="none" w:sz="0" w:space="0" w:color="auto"/>
          </w:divBdr>
        </w:div>
        <w:div w:id="495196797">
          <w:marLeft w:val="360"/>
          <w:marRight w:val="0"/>
          <w:marTop w:val="200"/>
          <w:marBottom w:val="0"/>
          <w:divBdr>
            <w:top w:val="none" w:sz="0" w:space="0" w:color="auto"/>
            <w:left w:val="none" w:sz="0" w:space="0" w:color="auto"/>
            <w:bottom w:val="none" w:sz="0" w:space="0" w:color="auto"/>
            <w:right w:val="none" w:sz="0" w:space="0" w:color="auto"/>
          </w:divBdr>
        </w:div>
        <w:div w:id="1252086593">
          <w:marLeft w:val="360"/>
          <w:marRight w:val="0"/>
          <w:marTop w:val="200"/>
          <w:marBottom w:val="0"/>
          <w:divBdr>
            <w:top w:val="none" w:sz="0" w:space="0" w:color="auto"/>
            <w:left w:val="none" w:sz="0" w:space="0" w:color="auto"/>
            <w:bottom w:val="none" w:sz="0" w:space="0" w:color="auto"/>
            <w:right w:val="none" w:sz="0" w:space="0" w:color="auto"/>
          </w:divBdr>
        </w:div>
      </w:divsChild>
    </w:div>
    <w:div w:id="1967277998">
      <w:bodyDiv w:val="1"/>
      <w:marLeft w:val="0"/>
      <w:marRight w:val="0"/>
      <w:marTop w:val="0"/>
      <w:marBottom w:val="0"/>
      <w:divBdr>
        <w:top w:val="none" w:sz="0" w:space="0" w:color="auto"/>
        <w:left w:val="none" w:sz="0" w:space="0" w:color="auto"/>
        <w:bottom w:val="none" w:sz="0" w:space="0" w:color="auto"/>
        <w:right w:val="none" w:sz="0" w:space="0" w:color="auto"/>
      </w:divBdr>
    </w:div>
    <w:div w:id="2080788528">
      <w:bodyDiv w:val="1"/>
      <w:marLeft w:val="0"/>
      <w:marRight w:val="0"/>
      <w:marTop w:val="0"/>
      <w:marBottom w:val="0"/>
      <w:divBdr>
        <w:top w:val="none" w:sz="0" w:space="0" w:color="auto"/>
        <w:left w:val="none" w:sz="0" w:space="0" w:color="auto"/>
        <w:bottom w:val="none" w:sz="0" w:space="0" w:color="auto"/>
        <w:right w:val="none" w:sz="0" w:space="0" w:color="auto"/>
      </w:divBdr>
      <w:divsChild>
        <w:div w:id="1685012745">
          <w:marLeft w:val="360"/>
          <w:marRight w:val="0"/>
          <w:marTop w:val="200"/>
          <w:marBottom w:val="0"/>
          <w:divBdr>
            <w:top w:val="none" w:sz="0" w:space="0" w:color="auto"/>
            <w:left w:val="none" w:sz="0" w:space="0" w:color="auto"/>
            <w:bottom w:val="none" w:sz="0" w:space="0" w:color="auto"/>
            <w:right w:val="none" w:sz="0" w:space="0" w:color="auto"/>
          </w:divBdr>
        </w:div>
        <w:div w:id="566958556">
          <w:marLeft w:val="1080"/>
          <w:marRight w:val="0"/>
          <w:marTop w:val="100"/>
          <w:marBottom w:val="0"/>
          <w:divBdr>
            <w:top w:val="none" w:sz="0" w:space="0" w:color="auto"/>
            <w:left w:val="none" w:sz="0" w:space="0" w:color="auto"/>
            <w:bottom w:val="none" w:sz="0" w:space="0" w:color="auto"/>
            <w:right w:val="none" w:sz="0" w:space="0" w:color="auto"/>
          </w:divBdr>
        </w:div>
        <w:div w:id="1770196057">
          <w:marLeft w:val="1800"/>
          <w:marRight w:val="0"/>
          <w:marTop w:val="100"/>
          <w:marBottom w:val="0"/>
          <w:divBdr>
            <w:top w:val="none" w:sz="0" w:space="0" w:color="auto"/>
            <w:left w:val="none" w:sz="0" w:space="0" w:color="auto"/>
            <w:bottom w:val="none" w:sz="0" w:space="0" w:color="auto"/>
            <w:right w:val="none" w:sz="0" w:space="0" w:color="auto"/>
          </w:divBdr>
        </w:div>
        <w:div w:id="1284849892">
          <w:marLeft w:val="252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 w:id="213051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10E0-D48C-4FAD-8719-04722D829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6</Pages>
  <Words>2722</Words>
  <Characters>13745</Characters>
  <Application>Microsoft Office Word</Application>
  <DocSecurity>0</DocSecurity>
  <Lines>255</Lines>
  <Paragraphs>119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Li, Qiming</cp:lastModifiedBy>
  <cp:revision>43</cp:revision>
  <cp:lastPrinted>1899-12-31T22:00:00Z</cp:lastPrinted>
  <dcterms:created xsi:type="dcterms:W3CDTF">2020-02-11T01:57:00Z</dcterms:created>
  <dcterms:modified xsi:type="dcterms:W3CDTF">2020-05-15T05:07:00Z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2020-05-15 05:07:24Z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